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132F6" w14:textId="2D4423EE" w:rsidR="006D3016" w:rsidRPr="00341812" w:rsidRDefault="006D3016" w:rsidP="003C7C17">
      <w:pPr>
        <w:widowControl w:val="0"/>
        <w:tabs>
          <w:tab w:val="right" w:pos="9639"/>
        </w:tabs>
        <w:spacing w:before="0"/>
        <w:rPr>
          <w:rFonts w:eastAsia="Times New Roman"/>
          <w:b/>
          <w:bCs w:val="0"/>
          <w:i/>
          <w:sz w:val="24"/>
        </w:rPr>
      </w:pPr>
      <w:r w:rsidRPr="00341812">
        <w:rPr>
          <w:rFonts w:eastAsia="Times New Roman"/>
          <w:b/>
          <w:sz w:val="24"/>
        </w:rPr>
        <w:t>3GPP T</w:t>
      </w:r>
      <w:bookmarkStart w:id="0" w:name="_Ref452454252"/>
      <w:bookmarkEnd w:id="0"/>
      <w:r w:rsidRPr="00341812">
        <w:rPr>
          <w:rFonts w:eastAsia="Times New Roman"/>
          <w:b/>
          <w:sz w:val="24"/>
        </w:rPr>
        <w:t xml:space="preserve">SG-RAN WG2 Meeting </w:t>
      </w:r>
      <w:r w:rsidR="003F08B2" w:rsidRPr="003F08B2">
        <w:rPr>
          <w:rFonts w:eastAsia="Times New Roman"/>
          <w:b/>
          <w:sz w:val="24"/>
        </w:rPr>
        <w:t>#1</w:t>
      </w:r>
      <w:r w:rsidR="004A5E15">
        <w:rPr>
          <w:rFonts w:eastAsia="Times New Roman"/>
          <w:b/>
          <w:sz w:val="24"/>
        </w:rPr>
        <w:t>1</w:t>
      </w:r>
      <w:r w:rsidR="00702D3C">
        <w:rPr>
          <w:rFonts w:eastAsia="Times New Roman"/>
          <w:b/>
          <w:sz w:val="24"/>
        </w:rPr>
        <w:t>6</w:t>
      </w:r>
      <w:r w:rsidR="000F4E00">
        <w:rPr>
          <w:rFonts w:eastAsia="Times New Roman"/>
          <w:b/>
          <w:sz w:val="24"/>
        </w:rPr>
        <w:t>bis</w:t>
      </w:r>
      <w:r w:rsidR="00983713">
        <w:rPr>
          <w:rFonts w:eastAsia="Times New Roman"/>
          <w:b/>
          <w:sz w:val="24"/>
        </w:rPr>
        <w:t>-</w:t>
      </w:r>
      <w:r w:rsidR="00032B71">
        <w:rPr>
          <w:rFonts w:eastAsia="Times New Roman"/>
          <w:b/>
          <w:sz w:val="24"/>
        </w:rPr>
        <w:t>e</w:t>
      </w:r>
      <w:r w:rsidRPr="00341812">
        <w:rPr>
          <w:rFonts w:eastAsia="Times New Roman"/>
          <w:b/>
          <w:sz w:val="24"/>
        </w:rPr>
        <w:tab/>
      </w:r>
      <w:r w:rsidR="006A64C8" w:rsidRPr="006A64C8">
        <w:rPr>
          <w:rFonts w:eastAsia="Times New Roman"/>
          <w:b/>
          <w:sz w:val="24"/>
        </w:rPr>
        <w:t>R2-2</w:t>
      </w:r>
      <w:r w:rsidR="00834984">
        <w:rPr>
          <w:rFonts w:eastAsia="Times New Roman"/>
          <w:b/>
          <w:sz w:val="24"/>
        </w:rPr>
        <w:t>200</w:t>
      </w:r>
      <w:r w:rsidR="006A1118">
        <w:rPr>
          <w:rFonts w:eastAsia="Times New Roman"/>
          <w:b/>
          <w:sz w:val="24"/>
        </w:rPr>
        <w:t>189</w:t>
      </w:r>
    </w:p>
    <w:p w14:paraId="6D1CDF7B" w14:textId="462AAC2D" w:rsidR="006D3016" w:rsidRPr="00341812" w:rsidRDefault="00545257" w:rsidP="003C7C17">
      <w:pPr>
        <w:widowControl w:val="0"/>
        <w:tabs>
          <w:tab w:val="right" w:pos="9639"/>
        </w:tabs>
        <w:spacing w:before="0"/>
        <w:rPr>
          <w:rFonts w:eastAsia="Times New Roman"/>
          <w:b/>
          <w:bCs w:val="0"/>
          <w:sz w:val="24"/>
        </w:rPr>
      </w:pPr>
      <w:r>
        <w:rPr>
          <w:b/>
          <w:sz w:val="24"/>
        </w:rPr>
        <w:t>Online</w:t>
      </w:r>
      <w:r w:rsidR="00032B71" w:rsidRPr="00032B71">
        <w:rPr>
          <w:b/>
          <w:sz w:val="24"/>
        </w:rPr>
        <w:t xml:space="preserve">, </w:t>
      </w:r>
      <w:r w:rsidR="000F4E00">
        <w:rPr>
          <w:b/>
          <w:sz w:val="24"/>
        </w:rPr>
        <w:t>January</w:t>
      </w:r>
      <w:r w:rsidR="00E90DD7">
        <w:rPr>
          <w:b/>
          <w:sz w:val="24"/>
        </w:rPr>
        <w:t xml:space="preserve"> </w:t>
      </w:r>
      <w:r w:rsidR="003F415C">
        <w:rPr>
          <w:b/>
          <w:sz w:val="24"/>
        </w:rPr>
        <w:t>1</w:t>
      </w:r>
      <w:r w:rsidR="00AB4FC1">
        <w:rPr>
          <w:b/>
          <w:sz w:val="24"/>
        </w:rPr>
        <w:t>7</w:t>
      </w:r>
      <w:r w:rsidR="003F415C">
        <w:rPr>
          <w:b/>
          <w:sz w:val="24"/>
        </w:rPr>
        <w:t xml:space="preserve"> – </w:t>
      </w:r>
      <w:r w:rsidR="00AB4FC1">
        <w:rPr>
          <w:b/>
          <w:sz w:val="24"/>
        </w:rPr>
        <w:t>25</w:t>
      </w:r>
      <w:r w:rsidR="003F415C">
        <w:rPr>
          <w:b/>
          <w:sz w:val="24"/>
        </w:rPr>
        <w:t xml:space="preserve">, </w:t>
      </w:r>
      <w:r w:rsidR="00032B71" w:rsidRPr="00032B71">
        <w:rPr>
          <w:b/>
          <w:sz w:val="24"/>
        </w:rPr>
        <w:t>202</w:t>
      </w:r>
      <w:r w:rsidR="00AB4FC1">
        <w:rPr>
          <w:b/>
          <w:sz w:val="24"/>
        </w:rPr>
        <w:t>2</w:t>
      </w:r>
      <w:r w:rsidR="0091700D" w:rsidRPr="00341812">
        <w:rPr>
          <w:b/>
          <w:sz w:val="24"/>
        </w:rPr>
        <w:tab/>
      </w:r>
      <w:r w:rsidR="001215A5">
        <w:rPr>
          <w:b/>
          <w:sz w:val="24"/>
        </w:rPr>
        <w:t>Revision of R2-2109446</w:t>
      </w:r>
    </w:p>
    <w:p w14:paraId="07B662E7" w14:textId="77777777" w:rsidR="006D3016" w:rsidRPr="00341812" w:rsidRDefault="006D3016" w:rsidP="005D575A">
      <w:pPr>
        <w:widowControl w:val="0"/>
        <w:spacing w:before="0"/>
        <w:rPr>
          <w:rFonts w:eastAsia="Times New Roman"/>
          <w:b/>
          <w:bCs w:val="0"/>
          <w:sz w:val="24"/>
        </w:rPr>
      </w:pPr>
    </w:p>
    <w:p w14:paraId="7AFCFD13" w14:textId="6B21EE2D" w:rsidR="006D3016" w:rsidRPr="00341812" w:rsidRDefault="006D3016" w:rsidP="005D575A">
      <w:pPr>
        <w:tabs>
          <w:tab w:val="left" w:pos="1985"/>
        </w:tabs>
        <w:snapToGrid w:val="0"/>
        <w:spacing w:before="0" w:after="120"/>
        <w:rPr>
          <w:rFonts w:eastAsia="MS Mincho" w:cs="Arial"/>
          <w:b/>
          <w:bCs w:val="0"/>
          <w:sz w:val="24"/>
        </w:rPr>
      </w:pPr>
      <w:r w:rsidRPr="00341812">
        <w:rPr>
          <w:rFonts w:eastAsia="MS Mincho" w:cs="Arial"/>
          <w:b/>
          <w:sz w:val="24"/>
          <w:lang w:eastAsia="en-US"/>
        </w:rPr>
        <w:t>Agenda item:</w:t>
      </w:r>
      <w:r w:rsidRPr="00341812">
        <w:rPr>
          <w:rFonts w:eastAsia="MS Mincho" w:cs="Arial"/>
          <w:b/>
          <w:sz w:val="24"/>
          <w:lang w:eastAsia="en-US"/>
        </w:rPr>
        <w:tab/>
      </w:r>
      <w:r w:rsidR="00945C05">
        <w:rPr>
          <w:rFonts w:eastAsia="MS Mincho" w:cs="Arial"/>
          <w:b/>
          <w:sz w:val="24"/>
        </w:rPr>
        <w:t>8.12.2.</w:t>
      </w:r>
      <w:r w:rsidR="00334CEB">
        <w:rPr>
          <w:rFonts w:eastAsia="MS Mincho" w:cs="Arial"/>
          <w:b/>
          <w:sz w:val="24"/>
        </w:rPr>
        <w:t>1</w:t>
      </w:r>
    </w:p>
    <w:p w14:paraId="5685B4D7" w14:textId="1C80D463" w:rsidR="00E30B2C" w:rsidRPr="00341812" w:rsidRDefault="006D3016" w:rsidP="005D575A">
      <w:pPr>
        <w:tabs>
          <w:tab w:val="left" w:pos="1985"/>
        </w:tabs>
        <w:snapToGrid w:val="0"/>
        <w:spacing w:before="0" w:after="120"/>
        <w:ind w:left="1985" w:hanging="1985"/>
        <w:rPr>
          <w:rFonts w:eastAsia="Times New Roman" w:cs="Arial"/>
          <w:b/>
          <w:bCs w:val="0"/>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00BB3503" w:rsidRPr="00383F56">
        <w:rPr>
          <w:rFonts w:eastAsia="Times New Roman" w:cs="Arial"/>
          <w:b/>
          <w:sz w:val="24"/>
          <w:lang w:eastAsia="en-US"/>
        </w:rPr>
        <w:t>Qualcomm Inc</w:t>
      </w:r>
      <w:r w:rsidR="005D575A">
        <w:rPr>
          <w:rFonts w:eastAsia="Times New Roman" w:cs="Arial"/>
          <w:b/>
          <w:sz w:val="24"/>
          <w:lang w:eastAsia="en-US"/>
        </w:rPr>
        <w:t>orporated</w:t>
      </w:r>
    </w:p>
    <w:p w14:paraId="62778E85" w14:textId="617E7DF3" w:rsidR="006D3016" w:rsidRPr="00341812" w:rsidRDefault="006D3016" w:rsidP="005D575A">
      <w:pPr>
        <w:tabs>
          <w:tab w:val="left" w:pos="1985"/>
        </w:tabs>
        <w:snapToGrid w:val="0"/>
        <w:spacing w:before="0" w:after="120"/>
        <w:ind w:left="1985" w:hanging="1985"/>
        <w:rPr>
          <w:rFonts w:eastAsia="Times New Roman" w:cs="Arial"/>
          <w:b/>
          <w:bCs w:val="0"/>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sidR="00872B28">
        <w:rPr>
          <w:rFonts w:eastAsia="Times New Roman" w:cs="Arial"/>
          <w:b/>
          <w:sz w:val="24"/>
          <w:lang w:eastAsia="en-US"/>
        </w:rPr>
        <w:t xml:space="preserve">Support for </w:t>
      </w:r>
      <w:r w:rsidR="00FD1E92">
        <w:rPr>
          <w:rFonts w:eastAsia="Times New Roman" w:cs="Arial"/>
          <w:b/>
          <w:sz w:val="24"/>
          <w:lang w:eastAsia="en-US"/>
        </w:rPr>
        <w:t>fallback operation for</w:t>
      </w:r>
      <w:r w:rsidR="00872B28">
        <w:rPr>
          <w:rFonts w:eastAsia="Times New Roman" w:cs="Arial"/>
          <w:b/>
          <w:sz w:val="24"/>
          <w:lang w:eastAsia="en-US"/>
        </w:rPr>
        <w:t xml:space="preserve"> RedCap UEs</w:t>
      </w:r>
    </w:p>
    <w:p w14:paraId="1FA36C2B" w14:textId="194A99CE" w:rsidR="006D3016" w:rsidRPr="00341812" w:rsidRDefault="006D3016" w:rsidP="005D575A">
      <w:pPr>
        <w:snapToGrid w:val="0"/>
        <w:spacing w:before="0" w:after="120"/>
        <w:ind w:left="1985" w:hanging="1985"/>
        <w:rPr>
          <w:rFonts w:eastAsia="Times New Roman" w:cs="Arial"/>
          <w:b/>
          <w:bCs w:val="0"/>
          <w:sz w:val="24"/>
          <w:lang w:eastAsia="en-US"/>
        </w:rPr>
      </w:pPr>
      <w:bookmarkStart w:id="1" w:name="_Hlk506366071"/>
      <w:r w:rsidRPr="00341812">
        <w:rPr>
          <w:rFonts w:eastAsia="Times New Roman" w:cs="Arial"/>
          <w:b/>
          <w:sz w:val="24"/>
          <w:lang w:eastAsia="en-US"/>
        </w:rPr>
        <w:t>WID/SID:</w:t>
      </w:r>
      <w:r w:rsidRPr="00341812">
        <w:rPr>
          <w:rFonts w:eastAsia="Times New Roman" w:cs="Arial"/>
          <w:b/>
          <w:sz w:val="24"/>
          <w:lang w:eastAsia="en-US"/>
        </w:rPr>
        <w:tab/>
      </w:r>
      <w:r w:rsidR="00F96656" w:rsidRPr="00F96656">
        <w:rPr>
          <w:rFonts w:eastAsia="Times New Roman" w:cs="Arial"/>
          <w:b/>
          <w:sz w:val="24"/>
          <w:lang w:eastAsia="en-US"/>
        </w:rPr>
        <w:t>NR_</w:t>
      </w:r>
      <w:r w:rsidR="00AB495C">
        <w:rPr>
          <w:rFonts w:eastAsia="Times New Roman" w:cs="Arial"/>
          <w:b/>
          <w:sz w:val="24"/>
          <w:lang w:eastAsia="en-US"/>
        </w:rPr>
        <w:t>redcap</w:t>
      </w:r>
      <w:r w:rsidR="00F96656" w:rsidRPr="00F96656">
        <w:rPr>
          <w:rFonts w:eastAsia="Times New Roman" w:cs="Arial"/>
          <w:b/>
          <w:sz w:val="24"/>
          <w:lang w:eastAsia="en-US"/>
        </w:rPr>
        <w:t>-Core</w:t>
      </w:r>
    </w:p>
    <w:p w14:paraId="5B797E05" w14:textId="77777777" w:rsidR="006D3016" w:rsidRPr="00341812" w:rsidRDefault="006D3016" w:rsidP="005D575A">
      <w:pPr>
        <w:tabs>
          <w:tab w:val="left" w:pos="1985"/>
        </w:tabs>
        <w:snapToGrid w:val="0"/>
        <w:spacing w:before="0" w:after="120"/>
        <w:rPr>
          <w:rFonts w:eastAsia="Times New Roman" w:cs="Arial"/>
          <w:b/>
          <w:bCs w:val="0"/>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Discussion and Decision</w:t>
      </w:r>
      <w:bookmarkEnd w:id="1"/>
    </w:p>
    <w:p w14:paraId="3BD3EB7B" w14:textId="2A816CA9" w:rsidR="00476667" w:rsidRPr="00783198" w:rsidRDefault="00CD1FF7" w:rsidP="00783198">
      <w:pPr>
        <w:pStyle w:val="Heading1"/>
        <w:rPr>
          <w:lang w:val="en-US"/>
        </w:rPr>
      </w:pPr>
      <w:r w:rsidRPr="00341812">
        <w:rPr>
          <w:lang w:val="en-US"/>
        </w:rPr>
        <w:t>Introduction</w:t>
      </w:r>
      <w:r w:rsidR="004525CE">
        <w:t xml:space="preserve"> </w:t>
      </w:r>
    </w:p>
    <w:p w14:paraId="2013975C" w14:textId="04899F4D" w:rsidR="003F08B2" w:rsidRDefault="0003508F" w:rsidP="00CD0894">
      <w:pPr>
        <w:spacing w:after="120"/>
      </w:pPr>
      <w:r>
        <w:t xml:space="preserve">This </w:t>
      </w:r>
      <w:r w:rsidR="00831150">
        <w:t>paper discusses the motivation</w:t>
      </w:r>
      <w:r w:rsidR="00FB56B1">
        <w:t xml:space="preserve">s and necessary enhancements </w:t>
      </w:r>
      <w:r w:rsidR="00831150">
        <w:t xml:space="preserve">for supporting </w:t>
      </w:r>
      <w:r w:rsidR="000076D0">
        <w:t xml:space="preserve">a new </w:t>
      </w:r>
      <w:r w:rsidR="00FD1E92">
        <w:t>fallback</w:t>
      </w:r>
      <w:r w:rsidR="00831150">
        <w:t xml:space="preserve"> </w:t>
      </w:r>
      <w:r w:rsidR="000076D0">
        <w:t xml:space="preserve">operation for </w:t>
      </w:r>
      <w:r w:rsidR="00831150">
        <w:t xml:space="preserve">RedCap UEs, which </w:t>
      </w:r>
      <w:r w:rsidR="007B3B3E">
        <w:t xml:space="preserve">allows a RedCap </w:t>
      </w:r>
      <w:r w:rsidR="00DE6A65">
        <w:t>UE to access legacy cell</w:t>
      </w:r>
      <w:r w:rsidR="0065408E">
        <w:t>s in which it can operate as a spec-compliant non-RedCap</w:t>
      </w:r>
      <w:r w:rsidR="00FD1E92">
        <w:t xml:space="preserve"> UE</w:t>
      </w:r>
      <w:r w:rsidR="00ED7F4F">
        <w:t>.</w:t>
      </w:r>
    </w:p>
    <w:p w14:paraId="2AA25FB1" w14:textId="1123FFC4" w:rsidR="00AE3E14" w:rsidRDefault="00AE3E14" w:rsidP="00AE3E14">
      <w:pPr>
        <w:pStyle w:val="Heading1"/>
        <w:rPr>
          <w:lang w:val="en-US"/>
        </w:rPr>
      </w:pPr>
      <w:r w:rsidRPr="00341812">
        <w:rPr>
          <w:lang w:val="en-US"/>
        </w:rPr>
        <w:t>Discussion</w:t>
      </w:r>
    </w:p>
    <w:p w14:paraId="5A6F8802" w14:textId="1544EDD8" w:rsidR="003A01B0" w:rsidRDefault="003A01B0" w:rsidP="003A01B0">
      <w:pPr>
        <w:pStyle w:val="Heading2"/>
      </w:pPr>
      <w:r>
        <w:t>Motivation</w:t>
      </w:r>
    </w:p>
    <w:p w14:paraId="6660E487" w14:textId="6C262605" w:rsidR="00347552" w:rsidRDefault="005A289A" w:rsidP="005B3926">
      <w:r>
        <w:t xml:space="preserve">It is expected that </w:t>
      </w:r>
      <w:r w:rsidR="00D5352F" w:rsidRPr="00D5352F">
        <w:t xml:space="preserve">RedCap may not be </w:t>
      </w:r>
      <w:r w:rsidR="00FD1E92">
        <w:t xml:space="preserve">widely </w:t>
      </w:r>
      <w:r w:rsidR="00D5352F" w:rsidRPr="00D5352F">
        <w:t xml:space="preserve">supported across operator’s network, at least in its </w:t>
      </w:r>
      <w:r w:rsidR="00E83DF0">
        <w:t xml:space="preserve">early-stage </w:t>
      </w:r>
      <w:r w:rsidR="00D5352F" w:rsidRPr="00D5352F">
        <w:t>deployment</w:t>
      </w:r>
      <w:r w:rsidR="00176296">
        <w:t xml:space="preserve">. </w:t>
      </w:r>
      <w:r w:rsidR="00066CC0">
        <w:t xml:space="preserve">A likely scenario is that RedCap </w:t>
      </w:r>
      <w:r w:rsidR="00FD1E92">
        <w:t xml:space="preserve">initially </w:t>
      </w:r>
      <w:r w:rsidR="00066CC0">
        <w:t xml:space="preserve">will be supported only in areas </w:t>
      </w:r>
      <w:r w:rsidR="00C11AED">
        <w:t>with</w:t>
      </w:r>
      <w:r w:rsidR="00CB2709">
        <w:t xml:space="preserve"> the strongest</w:t>
      </w:r>
      <w:r w:rsidR="00C11AED">
        <w:t xml:space="preserve"> demand</w:t>
      </w:r>
      <w:r w:rsidR="00CB2709">
        <w:t xml:space="preserve">. </w:t>
      </w:r>
      <w:r w:rsidR="00D1596F">
        <w:t xml:space="preserve">Another </w:t>
      </w:r>
      <w:r w:rsidR="0045310F">
        <w:t>scenario</w:t>
      </w:r>
      <w:r w:rsidR="00D1596F">
        <w:t xml:space="preserve"> is that </w:t>
      </w:r>
      <w:r w:rsidR="0045310F">
        <w:t xml:space="preserve">operator’s network </w:t>
      </w:r>
      <w:r w:rsidR="00A5700B">
        <w:t>typically</w:t>
      </w:r>
      <w:r w:rsidR="0045310F">
        <w:t xml:space="preserve"> consists </w:t>
      </w:r>
      <w:r w:rsidR="00D70B29">
        <w:t xml:space="preserve">of equipment from multiple vendors. It is unlikely that all vendors </w:t>
      </w:r>
      <w:r w:rsidR="006506E2">
        <w:t xml:space="preserve">upgrade their equipment to support RedCap at the same time. </w:t>
      </w:r>
    </w:p>
    <w:p w14:paraId="04660F84" w14:textId="188B49B7" w:rsidR="00FB56B1" w:rsidRDefault="00347552" w:rsidP="005B3926">
      <w:r>
        <w:t xml:space="preserve">However, </w:t>
      </w:r>
      <w:r w:rsidR="00E27ADB">
        <w:t>spotty</w:t>
      </w:r>
      <w:r w:rsidR="00B010AB">
        <w:t xml:space="preserve"> </w:t>
      </w:r>
      <w:r w:rsidR="00FD1E92">
        <w:t xml:space="preserve">service </w:t>
      </w:r>
      <w:r w:rsidR="00B010AB">
        <w:t xml:space="preserve">coverage can be a big hurdle for the adoption of </w:t>
      </w:r>
      <w:r w:rsidR="00E27ADB">
        <w:t xml:space="preserve">new </w:t>
      </w:r>
      <w:r w:rsidR="00B010AB">
        <w:t>RedCap</w:t>
      </w:r>
      <w:r w:rsidR="00A5490F">
        <w:t xml:space="preserve"> devices</w:t>
      </w:r>
      <w:r w:rsidR="002B4413">
        <w:t>.</w:t>
      </w:r>
      <w:r>
        <w:t xml:space="preserve"> </w:t>
      </w:r>
      <w:r w:rsidR="00AC7FA4">
        <w:t xml:space="preserve">One solution might be to pair </w:t>
      </w:r>
      <w:r w:rsidR="004E1CCD">
        <w:t>RedCap with a LTE modem</w:t>
      </w:r>
      <w:r w:rsidR="000009BF">
        <w:t xml:space="preserve"> in a </w:t>
      </w:r>
      <w:r w:rsidR="00E27ADB">
        <w:t>UE</w:t>
      </w:r>
      <w:r w:rsidR="004E1CCD">
        <w:t xml:space="preserve">, so that </w:t>
      </w:r>
      <w:r w:rsidR="000009BF">
        <w:t>the</w:t>
      </w:r>
      <w:r w:rsidR="004E1CCD">
        <w:t xml:space="preserve"> UE </w:t>
      </w:r>
      <w:r w:rsidR="0048026B">
        <w:t>can</w:t>
      </w:r>
      <w:r w:rsidR="004E1CCD">
        <w:t xml:space="preserve"> fall</w:t>
      </w:r>
      <w:r w:rsidR="0048026B">
        <w:t xml:space="preserve"> </w:t>
      </w:r>
      <w:r w:rsidR="004E1CCD">
        <w:t xml:space="preserve">back to legacy LTE network </w:t>
      </w:r>
      <w:r w:rsidR="0048026B">
        <w:t xml:space="preserve">where NR service is not available. </w:t>
      </w:r>
      <w:r w:rsidR="00C33979">
        <w:t>This</w:t>
      </w:r>
      <w:r w:rsidR="00FD1E92">
        <w:t xml:space="preserve"> solution</w:t>
      </w:r>
      <w:r w:rsidR="00C33979">
        <w:t xml:space="preserve">, however, obviously would add costs to RedCap UEs and hence </w:t>
      </w:r>
      <w:r w:rsidR="00FD1E92">
        <w:t xml:space="preserve">is </w:t>
      </w:r>
      <w:r w:rsidR="00C33979">
        <w:t xml:space="preserve">not very desirable. </w:t>
      </w:r>
    </w:p>
    <w:p w14:paraId="723BDB2C" w14:textId="5BB3AB45" w:rsidR="005B3926" w:rsidRPr="00D5352F" w:rsidRDefault="005B3926" w:rsidP="00D5352F">
      <w:pPr>
        <w:tabs>
          <w:tab w:val="left" w:pos="1440"/>
        </w:tabs>
        <w:ind w:left="1440" w:hanging="1440"/>
        <w:rPr>
          <w:b/>
          <w:bCs w:val="0"/>
        </w:rPr>
      </w:pPr>
      <w:r w:rsidRPr="00D5352F">
        <w:rPr>
          <w:b/>
          <w:bCs w:val="0"/>
        </w:rPr>
        <w:t xml:space="preserve">Observation 1. RedCap may not be </w:t>
      </w:r>
      <w:r w:rsidR="00FD1E92">
        <w:rPr>
          <w:b/>
          <w:bCs w:val="0"/>
        </w:rPr>
        <w:t xml:space="preserve">widely </w:t>
      </w:r>
      <w:r w:rsidRPr="00D5352F">
        <w:rPr>
          <w:b/>
          <w:bCs w:val="0"/>
        </w:rPr>
        <w:t xml:space="preserve">supported across operator’s network in its initial deployment. </w:t>
      </w:r>
      <w:r w:rsidR="00B84D57">
        <w:rPr>
          <w:b/>
          <w:bCs w:val="0"/>
        </w:rPr>
        <w:t>That could</w:t>
      </w:r>
      <w:r w:rsidR="00B84D57" w:rsidRPr="00B84D57">
        <w:rPr>
          <w:b/>
          <w:bCs w:val="0"/>
        </w:rPr>
        <w:t xml:space="preserve"> be a big hurdle for the adoption of new RedCap devices</w:t>
      </w:r>
      <w:r w:rsidR="00B84D57">
        <w:rPr>
          <w:b/>
          <w:bCs w:val="0"/>
        </w:rPr>
        <w:t>.</w:t>
      </w:r>
    </w:p>
    <w:p w14:paraId="70395760" w14:textId="5037C7C6" w:rsidR="00987034" w:rsidRDefault="00DE1960" w:rsidP="005B3926">
      <w:r>
        <w:t xml:space="preserve">We notice that at least from PHY-layer’s perspective, </w:t>
      </w:r>
      <w:r w:rsidR="001B37E9">
        <w:t>some</w:t>
      </w:r>
      <w:r w:rsidR="006F76DB">
        <w:t xml:space="preserve"> RedCap</w:t>
      </w:r>
      <w:r w:rsidR="001B37E9">
        <w:t xml:space="preserve"> implementations can </w:t>
      </w:r>
      <w:r w:rsidR="00D9455A">
        <w:t xml:space="preserve">access legacy cells in certain </w:t>
      </w:r>
      <w:r w:rsidR="0063259C">
        <w:t xml:space="preserve">bands in a fully spec compliant manner. </w:t>
      </w:r>
      <w:r w:rsidR="000D7D98">
        <w:t xml:space="preserve">For example, </w:t>
      </w:r>
      <w:r w:rsidR="00D71B04">
        <w:t>i</w:t>
      </w:r>
      <w:r w:rsidR="00D71B04" w:rsidRPr="00D71B04">
        <w:t>n FR1, the minimum number of R</w:t>
      </w:r>
      <w:r w:rsidR="00F903B0">
        <w:t xml:space="preserve">x </w:t>
      </w:r>
      <w:r w:rsidR="00D71B04" w:rsidRPr="00D71B04">
        <w:t xml:space="preserve">branches for non-RedCap UE is 2 </w:t>
      </w:r>
      <w:r w:rsidR="00FD1E92">
        <w:t>in bands with</w:t>
      </w:r>
      <w:r w:rsidR="00D71B04" w:rsidRPr="00D71B04">
        <w:t xml:space="preserve"> carrier frequency &lt;=2.496 GHz</w:t>
      </w:r>
      <w:r w:rsidR="00F903B0">
        <w:t>. Therefore</w:t>
      </w:r>
      <w:r w:rsidR="00A11DDF">
        <w:t xml:space="preserve">, if a </w:t>
      </w:r>
      <w:r w:rsidR="00A11DDF" w:rsidRPr="00A11DDF">
        <w:t xml:space="preserve">RedCap UE is FD capable, </w:t>
      </w:r>
      <w:r w:rsidR="00A11DDF">
        <w:t xml:space="preserve">has </w:t>
      </w:r>
      <w:r w:rsidR="00A11DDF" w:rsidRPr="00A11DDF">
        <w:t>2 R</w:t>
      </w:r>
      <w:r w:rsidR="00A11DDF">
        <w:t>x</w:t>
      </w:r>
      <w:r w:rsidR="00817842">
        <w:t xml:space="preserve"> and</w:t>
      </w:r>
      <w:r w:rsidR="00A11DDF" w:rsidRPr="00A11DDF">
        <w:t xml:space="preserve"> 20 MHz</w:t>
      </w:r>
      <w:r w:rsidR="00C414AE">
        <w:t xml:space="preserve"> max UE bandwidth</w:t>
      </w:r>
      <w:r w:rsidR="00A11DDF" w:rsidRPr="00A11DDF">
        <w:t xml:space="preserve">, </w:t>
      </w:r>
      <w:r w:rsidR="00C414AE">
        <w:t xml:space="preserve">supports </w:t>
      </w:r>
      <w:r w:rsidR="00A11DDF" w:rsidRPr="00A11DDF">
        <w:t xml:space="preserve">256 QAM for DL and 64 QAM on UL, </w:t>
      </w:r>
      <w:r w:rsidR="00817842">
        <w:t xml:space="preserve">then </w:t>
      </w:r>
      <w:r w:rsidR="00AD5C53">
        <w:t xml:space="preserve">it can </w:t>
      </w:r>
      <w:r w:rsidR="00FD1E92">
        <w:t xml:space="preserve">be </w:t>
      </w:r>
      <w:r w:rsidR="00112652">
        <w:t xml:space="preserve">served </w:t>
      </w:r>
      <w:r w:rsidR="00FD1E92">
        <w:t xml:space="preserve">just like a non-RedCap </w:t>
      </w:r>
      <w:r w:rsidR="00112652">
        <w:t xml:space="preserve">UE </w:t>
      </w:r>
      <w:r w:rsidR="00FD1E92">
        <w:t>in those legacy cells</w:t>
      </w:r>
      <w:r w:rsidR="00E477F5">
        <w:t>.</w:t>
      </w:r>
      <w:r w:rsidR="00CA0240">
        <w:t xml:space="preserve"> </w:t>
      </w:r>
      <w:r w:rsidR="00183E5B">
        <w:t xml:space="preserve"> </w:t>
      </w:r>
    </w:p>
    <w:p w14:paraId="7D54295B" w14:textId="57879243" w:rsidR="005B3926" w:rsidRPr="00276E1D" w:rsidRDefault="005B3926" w:rsidP="00276E1D">
      <w:pPr>
        <w:tabs>
          <w:tab w:val="left" w:pos="1440"/>
        </w:tabs>
        <w:ind w:left="1440" w:hanging="1440"/>
        <w:rPr>
          <w:b/>
          <w:bCs w:val="0"/>
        </w:rPr>
      </w:pPr>
      <w:r w:rsidRPr="00276E1D">
        <w:rPr>
          <w:b/>
          <w:bCs w:val="0"/>
        </w:rPr>
        <w:t xml:space="preserve">Observation 2. </w:t>
      </w:r>
      <w:r w:rsidR="00991DBF" w:rsidRPr="00276E1D">
        <w:rPr>
          <w:b/>
          <w:bCs w:val="0"/>
        </w:rPr>
        <w:t xml:space="preserve">Some </w:t>
      </w:r>
      <w:r w:rsidR="006C4B66" w:rsidRPr="00276E1D">
        <w:rPr>
          <w:b/>
          <w:bCs w:val="0"/>
        </w:rPr>
        <w:t xml:space="preserve">spec-compliant </w:t>
      </w:r>
      <w:r w:rsidRPr="00276E1D">
        <w:rPr>
          <w:b/>
          <w:bCs w:val="0"/>
        </w:rPr>
        <w:t xml:space="preserve">RedCap UEs can operate in </w:t>
      </w:r>
      <w:r w:rsidR="00E83985" w:rsidRPr="00276E1D">
        <w:rPr>
          <w:b/>
          <w:bCs w:val="0"/>
        </w:rPr>
        <w:t xml:space="preserve">legacy </w:t>
      </w:r>
      <w:r w:rsidR="00E83985">
        <w:rPr>
          <w:b/>
          <w:bCs w:val="0"/>
        </w:rPr>
        <w:t>cells</w:t>
      </w:r>
      <w:r w:rsidR="00E83985" w:rsidRPr="00276E1D">
        <w:rPr>
          <w:b/>
          <w:bCs w:val="0"/>
        </w:rPr>
        <w:t xml:space="preserve"> in certain bands</w:t>
      </w:r>
      <w:r w:rsidR="00FD1E92">
        <w:rPr>
          <w:b/>
          <w:bCs w:val="0"/>
        </w:rPr>
        <w:t xml:space="preserve"> (e.g. under 2.496 GHz)</w:t>
      </w:r>
      <w:r w:rsidR="00E83985" w:rsidRPr="00276E1D">
        <w:rPr>
          <w:b/>
          <w:bCs w:val="0"/>
        </w:rPr>
        <w:t xml:space="preserve"> </w:t>
      </w:r>
      <w:r w:rsidR="00E83985">
        <w:rPr>
          <w:b/>
          <w:bCs w:val="0"/>
        </w:rPr>
        <w:t xml:space="preserve">in the </w:t>
      </w:r>
      <w:r w:rsidRPr="00276E1D">
        <w:rPr>
          <w:b/>
          <w:bCs w:val="0"/>
        </w:rPr>
        <w:t xml:space="preserve">same </w:t>
      </w:r>
      <w:r w:rsidR="001B37E1">
        <w:rPr>
          <w:b/>
          <w:bCs w:val="0"/>
        </w:rPr>
        <w:t>way</w:t>
      </w:r>
      <w:r w:rsidRPr="00276E1D">
        <w:rPr>
          <w:b/>
          <w:bCs w:val="0"/>
        </w:rPr>
        <w:t xml:space="preserve"> as non-RedCap UEs. </w:t>
      </w:r>
    </w:p>
    <w:p w14:paraId="5EC292D6" w14:textId="7D917E67" w:rsidR="001B37E1" w:rsidRDefault="00564471" w:rsidP="005B3926">
      <w:r>
        <w:t xml:space="preserve">Based on the above observations, we can see that for a RedCap UE capable of operating in legacy cells, its service coverage </w:t>
      </w:r>
      <w:r w:rsidR="008906D3">
        <w:t xml:space="preserve">can be </w:t>
      </w:r>
      <w:r>
        <w:t>significant</w:t>
      </w:r>
      <w:r w:rsidR="008906D3">
        <w:t>ly improved</w:t>
      </w:r>
      <w:r w:rsidR="00717A64">
        <w:t>,</w:t>
      </w:r>
      <w:r w:rsidR="008906D3">
        <w:t xml:space="preserve"> </w:t>
      </w:r>
      <w:r>
        <w:t>if we allow it to access legacy cells as a non-RedCap UE</w:t>
      </w:r>
      <w:r w:rsidR="008906D3">
        <w:t xml:space="preserve"> when no RedCap service is available. </w:t>
      </w:r>
    </w:p>
    <w:p w14:paraId="20C38A5C" w14:textId="70662017" w:rsidR="005B3926" w:rsidRPr="00717A64" w:rsidRDefault="005B3926" w:rsidP="00717A64">
      <w:pPr>
        <w:tabs>
          <w:tab w:val="left" w:pos="1440"/>
        </w:tabs>
        <w:ind w:left="1440" w:hanging="1440"/>
        <w:rPr>
          <w:b/>
          <w:bCs w:val="0"/>
        </w:rPr>
      </w:pPr>
      <w:r w:rsidRPr="00717A64">
        <w:rPr>
          <w:b/>
          <w:bCs w:val="0"/>
        </w:rPr>
        <w:t xml:space="preserve">Observation 3. </w:t>
      </w:r>
      <w:r w:rsidR="00AE0BDD">
        <w:rPr>
          <w:b/>
          <w:bCs w:val="0"/>
        </w:rPr>
        <w:t xml:space="preserve">Allowing </w:t>
      </w:r>
      <w:r w:rsidR="000F6AD4">
        <w:rPr>
          <w:b/>
          <w:bCs w:val="0"/>
        </w:rPr>
        <w:t xml:space="preserve">a </w:t>
      </w:r>
      <w:r w:rsidRPr="00717A64">
        <w:rPr>
          <w:b/>
          <w:bCs w:val="0"/>
        </w:rPr>
        <w:t xml:space="preserve">RedCap UE </w:t>
      </w:r>
      <w:r w:rsidR="006871F0">
        <w:rPr>
          <w:b/>
          <w:bCs w:val="0"/>
        </w:rPr>
        <w:t xml:space="preserve">to access legacy cells </w:t>
      </w:r>
      <w:r w:rsidR="008266DC">
        <w:rPr>
          <w:b/>
          <w:bCs w:val="0"/>
        </w:rPr>
        <w:t>in which</w:t>
      </w:r>
      <w:r w:rsidR="006871F0">
        <w:rPr>
          <w:b/>
          <w:bCs w:val="0"/>
        </w:rPr>
        <w:t xml:space="preserve"> </w:t>
      </w:r>
      <w:r w:rsidR="000F6AD4">
        <w:rPr>
          <w:b/>
          <w:bCs w:val="0"/>
        </w:rPr>
        <w:t>it is</w:t>
      </w:r>
      <w:r w:rsidR="00AE0BDD">
        <w:rPr>
          <w:b/>
          <w:bCs w:val="0"/>
        </w:rPr>
        <w:t xml:space="preserve"> </w:t>
      </w:r>
      <w:r w:rsidR="0001340F" w:rsidRPr="0001340F">
        <w:rPr>
          <w:b/>
          <w:bCs w:val="0"/>
        </w:rPr>
        <w:t xml:space="preserve">capable of </w:t>
      </w:r>
      <w:r w:rsidR="008266DC">
        <w:rPr>
          <w:b/>
          <w:bCs w:val="0"/>
        </w:rPr>
        <w:t xml:space="preserve">operating as </w:t>
      </w:r>
      <w:r w:rsidR="000F6AD4">
        <w:rPr>
          <w:b/>
          <w:bCs w:val="0"/>
        </w:rPr>
        <w:t xml:space="preserve">a </w:t>
      </w:r>
      <w:r w:rsidR="008266DC">
        <w:rPr>
          <w:b/>
          <w:bCs w:val="0"/>
        </w:rPr>
        <w:t>non-RedCap UE in a spec-compliant manner c</w:t>
      </w:r>
      <w:r w:rsidRPr="00717A64">
        <w:rPr>
          <w:b/>
          <w:bCs w:val="0"/>
        </w:rPr>
        <w:t xml:space="preserve">an </w:t>
      </w:r>
      <w:r w:rsidR="00564471" w:rsidRPr="00717A64">
        <w:rPr>
          <w:b/>
          <w:bCs w:val="0"/>
        </w:rPr>
        <w:t>help</w:t>
      </w:r>
      <w:r w:rsidRPr="00717A64">
        <w:rPr>
          <w:b/>
          <w:bCs w:val="0"/>
        </w:rPr>
        <w:t xml:space="preserve"> improve </w:t>
      </w:r>
      <w:r w:rsidR="001B25C7">
        <w:rPr>
          <w:b/>
          <w:bCs w:val="0"/>
        </w:rPr>
        <w:t>its</w:t>
      </w:r>
      <w:r w:rsidRPr="00717A64">
        <w:rPr>
          <w:b/>
          <w:bCs w:val="0"/>
        </w:rPr>
        <w:t xml:space="preserve"> service coverage.</w:t>
      </w:r>
    </w:p>
    <w:p w14:paraId="357D1630" w14:textId="64E3BAF5" w:rsidR="003D1707" w:rsidRDefault="002A70C1" w:rsidP="005B3926">
      <w:r>
        <w:t xml:space="preserve">We understand that operators </w:t>
      </w:r>
      <w:r w:rsidR="00211AF7">
        <w:t xml:space="preserve">have concerns on RedCap UEs being used for </w:t>
      </w:r>
      <w:r w:rsidR="000F1A1D">
        <w:t>unintended use cases, or vice versa</w:t>
      </w:r>
      <w:r w:rsidR="00996F94">
        <w:t xml:space="preserve"> for non-RedCap UEs. Therefore, accessing legacy cells</w:t>
      </w:r>
      <w:r w:rsidR="00BC1D34">
        <w:t xml:space="preserve"> as a non-RedCap UE should be only a fallback operation for RedCap UE</w:t>
      </w:r>
      <w:r w:rsidR="00D63B71">
        <w:t xml:space="preserve">. It is allowed only when there </w:t>
      </w:r>
      <w:r w:rsidR="0019761F">
        <w:t>are</w:t>
      </w:r>
      <w:r w:rsidR="00D63B71">
        <w:t xml:space="preserve"> no RedCap-supporting cells available. </w:t>
      </w:r>
      <w:r w:rsidR="003D1707">
        <w:t xml:space="preserve">The only motivation for supporting </w:t>
      </w:r>
      <w:r w:rsidR="0019761F">
        <w:t>this fallback operation</w:t>
      </w:r>
      <w:r w:rsidR="003D1707">
        <w:t xml:space="preserve"> for RedCap UEs is to increase their service coverage. </w:t>
      </w:r>
    </w:p>
    <w:p w14:paraId="517CBB56" w14:textId="7772897B" w:rsidR="00564471" w:rsidRDefault="003D1707" w:rsidP="00213291">
      <w:pPr>
        <w:ind w:left="1440" w:hanging="1440"/>
      </w:pPr>
      <w:r w:rsidRPr="00A5679C">
        <w:rPr>
          <w:b/>
          <w:bCs w:val="0"/>
        </w:rPr>
        <w:t>Proposal 1.</w:t>
      </w:r>
      <w:r>
        <w:t xml:space="preserve"> </w:t>
      </w:r>
      <w:r w:rsidR="00213291">
        <w:t xml:space="preserve"> </w:t>
      </w:r>
      <w:r w:rsidR="00213291">
        <w:tab/>
      </w:r>
      <w:r w:rsidR="00213291" w:rsidRPr="00213291">
        <w:rPr>
          <w:b/>
          <w:bCs w:val="0"/>
        </w:rPr>
        <w:t xml:space="preserve">Support </w:t>
      </w:r>
      <w:r w:rsidR="0019761F">
        <w:rPr>
          <w:b/>
          <w:bCs w:val="0"/>
        </w:rPr>
        <w:t>fallback</w:t>
      </w:r>
      <w:r w:rsidR="00213291" w:rsidRPr="00213291">
        <w:rPr>
          <w:b/>
          <w:bCs w:val="0"/>
        </w:rPr>
        <w:t xml:space="preserve"> operation for RedCap, with which a RedCap UE is allowed to camp</w:t>
      </w:r>
      <w:r w:rsidR="00DC5B15">
        <w:rPr>
          <w:b/>
          <w:bCs w:val="0"/>
        </w:rPr>
        <w:t xml:space="preserve"> on</w:t>
      </w:r>
      <w:r w:rsidR="00213291" w:rsidRPr="00213291">
        <w:rPr>
          <w:b/>
          <w:bCs w:val="0"/>
        </w:rPr>
        <w:t xml:space="preserve"> or access a legacy cell as a spec-compliant non-RedCap UE when no RedCap-supporting cells are available.</w:t>
      </w:r>
      <w:r w:rsidR="00213291">
        <w:t xml:space="preserve"> </w:t>
      </w:r>
    </w:p>
    <w:p w14:paraId="15F66307" w14:textId="3297AB1A" w:rsidR="003A01B0" w:rsidRDefault="003A01B0" w:rsidP="003A01B0">
      <w:pPr>
        <w:pStyle w:val="Heading2"/>
      </w:pPr>
      <w:r>
        <w:lastRenderedPageBreak/>
        <w:t xml:space="preserve">Impact on </w:t>
      </w:r>
      <w:r w:rsidR="00106618">
        <w:t>RAN</w:t>
      </w:r>
      <w:r w:rsidR="0075056D">
        <w:t>2</w:t>
      </w:r>
      <w:r>
        <w:t xml:space="preserve"> procedures</w:t>
      </w:r>
    </w:p>
    <w:p w14:paraId="7B122A31" w14:textId="542F381B" w:rsidR="00930A41" w:rsidRPr="00930A41" w:rsidRDefault="00D10E81" w:rsidP="005B3926">
      <w:pPr>
        <w:rPr>
          <w:u w:val="single"/>
        </w:rPr>
      </w:pPr>
      <w:r>
        <w:rPr>
          <w:u w:val="single"/>
        </w:rPr>
        <w:t>Cell re-/selection</w:t>
      </w:r>
    </w:p>
    <w:p w14:paraId="64733799" w14:textId="6316AF3B" w:rsidR="0070154B" w:rsidRDefault="00471B3F" w:rsidP="005B3926">
      <w:r>
        <w:t xml:space="preserve">As </w:t>
      </w:r>
      <w:r w:rsidR="00794369">
        <w:t xml:space="preserve">explained earlier, a RedCap UE </w:t>
      </w:r>
      <w:r w:rsidR="0019761F">
        <w:t xml:space="preserve">capable of fallback operation </w:t>
      </w:r>
      <w:r w:rsidR="00794369">
        <w:t xml:space="preserve">should still follow RedCap procedures as default. Accessing legacy cells as a non-RedCap UE is </w:t>
      </w:r>
      <w:r w:rsidR="0019761F">
        <w:t xml:space="preserve">strictly </w:t>
      </w:r>
      <w:r w:rsidR="00794369">
        <w:t xml:space="preserve">a fallback option. </w:t>
      </w:r>
      <w:r w:rsidR="0019761F">
        <w:t>By this principle</w:t>
      </w:r>
      <w:r w:rsidR="00525D08">
        <w:t xml:space="preserve">, </w:t>
      </w:r>
      <w:r w:rsidR="006F6664">
        <w:t xml:space="preserve">its access </w:t>
      </w:r>
      <w:r w:rsidR="00D464D3">
        <w:t xml:space="preserve">to RedCap-supporting cells should be </w:t>
      </w:r>
      <w:r w:rsidR="000351AD">
        <w:t>priorit</w:t>
      </w:r>
      <w:r w:rsidR="00D464D3">
        <w:t xml:space="preserve">ized over legacy cells, </w:t>
      </w:r>
      <w:r w:rsidR="0019761F">
        <w:t xml:space="preserve">e.g. </w:t>
      </w:r>
      <w:r w:rsidR="000351AD">
        <w:t xml:space="preserve">even if </w:t>
      </w:r>
      <w:r w:rsidR="00D23CF2">
        <w:t xml:space="preserve">S criteria for cell re-/selection </w:t>
      </w:r>
      <w:r w:rsidR="001A650A">
        <w:t xml:space="preserve">of a target RedCap-supporting cell </w:t>
      </w:r>
      <w:r w:rsidR="009810BE">
        <w:t>is lower than</w:t>
      </w:r>
      <w:r w:rsidR="00D23CF2">
        <w:t xml:space="preserve"> those of a legacy cell</w:t>
      </w:r>
      <w:r w:rsidR="005B56B6">
        <w:t xml:space="preserve">. </w:t>
      </w:r>
    </w:p>
    <w:p w14:paraId="5AAD4D3D" w14:textId="5594EFFD" w:rsidR="005B56B6" w:rsidRDefault="007C5515" w:rsidP="007C5515">
      <w:pPr>
        <w:ind w:left="1440" w:hanging="1440"/>
        <w:rPr>
          <w:b/>
          <w:bCs w:val="0"/>
        </w:rPr>
      </w:pPr>
      <w:r w:rsidRPr="0090204A">
        <w:rPr>
          <w:b/>
          <w:bCs w:val="0"/>
        </w:rPr>
        <w:t xml:space="preserve">Proposal 2. </w:t>
      </w:r>
      <w:r w:rsidR="0090204A" w:rsidRPr="0090204A">
        <w:rPr>
          <w:b/>
          <w:bCs w:val="0"/>
        </w:rPr>
        <w:tab/>
      </w:r>
      <w:r w:rsidRPr="0090204A">
        <w:rPr>
          <w:b/>
          <w:bCs w:val="0"/>
        </w:rPr>
        <w:t xml:space="preserve">RedCap UEs </w:t>
      </w:r>
      <w:r w:rsidR="00021C39">
        <w:rPr>
          <w:b/>
          <w:bCs w:val="0"/>
        </w:rPr>
        <w:t xml:space="preserve">capable of fallback </w:t>
      </w:r>
      <w:r w:rsidR="00264B64">
        <w:rPr>
          <w:b/>
          <w:bCs w:val="0"/>
        </w:rPr>
        <w:t xml:space="preserve">operation </w:t>
      </w:r>
      <w:r w:rsidR="00FE21EA" w:rsidRPr="0090204A">
        <w:rPr>
          <w:b/>
          <w:bCs w:val="0"/>
        </w:rPr>
        <w:t xml:space="preserve">always </w:t>
      </w:r>
      <w:r w:rsidRPr="0090204A">
        <w:rPr>
          <w:b/>
          <w:bCs w:val="0"/>
        </w:rPr>
        <w:t>prioritize</w:t>
      </w:r>
      <w:r w:rsidR="00FE21EA" w:rsidRPr="0090204A">
        <w:rPr>
          <w:b/>
          <w:bCs w:val="0"/>
        </w:rPr>
        <w:t xml:space="preserve"> RedCap-supporting cells over legacy cells</w:t>
      </w:r>
      <w:r w:rsidR="002923A0">
        <w:rPr>
          <w:b/>
          <w:bCs w:val="0"/>
        </w:rPr>
        <w:t xml:space="preserve"> in </w:t>
      </w:r>
      <w:r w:rsidR="00686EF1" w:rsidRPr="0090204A">
        <w:rPr>
          <w:b/>
          <w:bCs w:val="0"/>
        </w:rPr>
        <w:t>cell re-/selection</w:t>
      </w:r>
      <w:r w:rsidR="002923A0">
        <w:rPr>
          <w:b/>
          <w:bCs w:val="0"/>
        </w:rPr>
        <w:t xml:space="preserve">, irrespective of </w:t>
      </w:r>
      <w:r w:rsidR="00686EF1" w:rsidRPr="0090204A">
        <w:rPr>
          <w:b/>
          <w:bCs w:val="0"/>
        </w:rPr>
        <w:t>cell barring</w:t>
      </w:r>
      <w:r w:rsidR="005B56B6">
        <w:rPr>
          <w:b/>
          <w:bCs w:val="0"/>
        </w:rPr>
        <w:t xml:space="preserve"> status</w:t>
      </w:r>
      <w:r w:rsidR="004805F5" w:rsidRPr="0090204A">
        <w:rPr>
          <w:b/>
          <w:bCs w:val="0"/>
        </w:rPr>
        <w:t>.</w:t>
      </w:r>
      <w:r w:rsidR="00686EF1" w:rsidRPr="0090204A">
        <w:rPr>
          <w:b/>
          <w:bCs w:val="0"/>
        </w:rPr>
        <w:t xml:space="preserve"> </w:t>
      </w:r>
    </w:p>
    <w:p w14:paraId="30062D9F" w14:textId="74130B12" w:rsidR="00277277" w:rsidRDefault="005B56B6" w:rsidP="005B56B6">
      <w:r>
        <w:t xml:space="preserve">Similarly, a </w:t>
      </w:r>
      <w:r w:rsidR="00A1694D">
        <w:t>RedCap UE capable of fallback operation</w:t>
      </w:r>
      <w:r w:rsidRPr="005B56B6">
        <w:t xml:space="preserve"> </w:t>
      </w:r>
      <w:r>
        <w:t xml:space="preserve">should </w:t>
      </w:r>
      <w:r w:rsidRPr="005B56B6">
        <w:t xml:space="preserve">always operate as a RedCap UE in a </w:t>
      </w:r>
      <w:r w:rsidR="00277277">
        <w:t xml:space="preserve">RedCap-supporting </w:t>
      </w:r>
      <w:r w:rsidRPr="005B56B6">
        <w:t xml:space="preserve">cell, e.g. even when </w:t>
      </w:r>
      <w:r w:rsidR="004E59E1">
        <w:t>the</w:t>
      </w:r>
      <w:r w:rsidRPr="005B56B6">
        <w:t xml:space="preserve"> </w:t>
      </w:r>
      <w:r w:rsidR="00277277">
        <w:t>cell signals</w:t>
      </w:r>
      <w:r w:rsidRPr="005B56B6">
        <w:t xml:space="preserve"> RedCap UEs</w:t>
      </w:r>
      <w:r w:rsidR="00277277">
        <w:t xml:space="preserve"> are being barred</w:t>
      </w:r>
      <w:r w:rsidRPr="005B56B6">
        <w:t>, UE</w:t>
      </w:r>
      <w:r w:rsidR="00277277">
        <w:t xml:space="preserve">s </w:t>
      </w:r>
      <w:r w:rsidR="00B27E88">
        <w:t xml:space="preserve">capable of fallback </w:t>
      </w:r>
      <w:r w:rsidR="00277277">
        <w:t xml:space="preserve">should not </w:t>
      </w:r>
      <w:r w:rsidRPr="005B56B6">
        <w:t xml:space="preserve">attempt access to this cell as a </w:t>
      </w:r>
      <w:r w:rsidR="00277277">
        <w:t>non-RedCap</w:t>
      </w:r>
      <w:r w:rsidRPr="005B56B6">
        <w:t xml:space="preserve"> UE</w:t>
      </w:r>
      <w:r w:rsidR="00277277">
        <w:t xml:space="preserve">. </w:t>
      </w:r>
    </w:p>
    <w:p w14:paraId="2AC63C52" w14:textId="082EF754" w:rsidR="00471B3F" w:rsidRPr="0090204A" w:rsidRDefault="00277277" w:rsidP="007C5515">
      <w:pPr>
        <w:ind w:left="1440" w:hanging="1440"/>
        <w:rPr>
          <w:b/>
          <w:bCs w:val="0"/>
        </w:rPr>
      </w:pPr>
      <w:r w:rsidRPr="002F197F">
        <w:rPr>
          <w:b/>
          <w:bCs w:val="0"/>
        </w:rPr>
        <w:t xml:space="preserve">Proposal 3. </w:t>
      </w:r>
      <w:r w:rsidR="002F197F" w:rsidRPr="002F197F">
        <w:rPr>
          <w:b/>
          <w:bCs w:val="0"/>
        </w:rPr>
        <w:tab/>
      </w:r>
      <w:r w:rsidR="00A954FA">
        <w:rPr>
          <w:b/>
          <w:bCs w:val="0"/>
        </w:rPr>
        <w:t>W</w:t>
      </w:r>
      <w:r w:rsidR="002F197F" w:rsidRPr="002F197F">
        <w:rPr>
          <w:b/>
          <w:bCs w:val="0"/>
        </w:rPr>
        <w:t xml:space="preserve">hen a cell </w:t>
      </w:r>
      <w:r w:rsidR="00A954FA">
        <w:rPr>
          <w:b/>
          <w:bCs w:val="0"/>
        </w:rPr>
        <w:t>indicates</w:t>
      </w:r>
      <w:r w:rsidR="002F197F" w:rsidRPr="002F197F">
        <w:rPr>
          <w:b/>
          <w:bCs w:val="0"/>
        </w:rPr>
        <w:t xml:space="preserve"> RedCap UEs</w:t>
      </w:r>
      <w:r w:rsidR="00A954FA">
        <w:rPr>
          <w:b/>
          <w:bCs w:val="0"/>
        </w:rPr>
        <w:t xml:space="preserve"> being barred</w:t>
      </w:r>
      <w:r w:rsidR="002F197F" w:rsidRPr="002F197F">
        <w:rPr>
          <w:b/>
          <w:bCs w:val="0"/>
        </w:rPr>
        <w:t xml:space="preserve">, </w:t>
      </w:r>
      <w:r w:rsidR="00FD46C2">
        <w:rPr>
          <w:b/>
          <w:bCs w:val="0"/>
        </w:rPr>
        <w:t xml:space="preserve">a </w:t>
      </w:r>
      <w:r w:rsidR="006322E5" w:rsidRPr="00FD46C2">
        <w:rPr>
          <w:b/>
          <w:bCs w:val="0"/>
        </w:rPr>
        <w:t xml:space="preserve">RedCap UE capable of fallback operation </w:t>
      </w:r>
      <w:r w:rsidR="002F197F" w:rsidRPr="002F197F">
        <w:rPr>
          <w:b/>
          <w:bCs w:val="0"/>
        </w:rPr>
        <w:t xml:space="preserve">should not attempt access to this cell as a non-RedCap UE. </w:t>
      </w:r>
      <w:r w:rsidR="009810BE" w:rsidRPr="0090204A">
        <w:rPr>
          <w:b/>
          <w:bCs w:val="0"/>
        </w:rPr>
        <w:t xml:space="preserve"> </w:t>
      </w:r>
      <w:r w:rsidR="001D12A7" w:rsidRPr="0090204A">
        <w:rPr>
          <w:b/>
          <w:bCs w:val="0"/>
        </w:rPr>
        <w:t xml:space="preserve"> </w:t>
      </w:r>
    </w:p>
    <w:p w14:paraId="1E5CCCDF" w14:textId="7C1D115F" w:rsidR="00BA50A0" w:rsidRDefault="00BA50A0" w:rsidP="008527BC">
      <w:pPr>
        <w:spacing w:before="180"/>
        <w:rPr>
          <w:u w:val="single"/>
        </w:rPr>
      </w:pPr>
      <w:r w:rsidRPr="00BA50A0">
        <w:rPr>
          <w:u w:val="single"/>
        </w:rPr>
        <w:t>UE capability signaling</w:t>
      </w:r>
    </w:p>
    <w:p w14:paraId="660EEFE2" w14:textId="77777777" w:rsidR="00CD7E49" w:rsidRDefault="003B736C" w:rsidP="005B3926">
      <w:pPr>
        <w:spacing w:after="60"/>
      </w:pPr>
      <w:r>
        <w:t>Since</w:t>
      </w:r>
      <w:r w:rsidR="003C68C5">
        <w:t xml:space="preserve"> </w:t>
      </w:r>
      <w:r w:rsidR="00BD349B">
        <w:t xml:space="preserve">a RedCap UE capable of fallback operation </w:t>
      </w:r>
      <w:r w:rsidR="003C68C5">
        <w:t xml:space="preserve">may </w:t>
      </w:r>
      <w:r w:rsidR="00182233">
        <w:t xml:space="preserve">access through both RedCap-supporting cells and </w:t>
      </w:r>
      <w:r w:rsidR="007A72EA">
        <w:t xml:space="preserve">legacy cells, </w:t>
      </w:r>
      <w:r w:rsidR="00ED3ECD">
        <w:t xml:space="preserve">it needs to </w:t>
      </w:r>
      <w:r w:rsidR="002163B7">
        <w:t xml:space="preserve">be discussed how </w:t>
      </w:r>
      <w:r w:rsidR="001024C3">
        <w:t xml:space="preserve">they should report their radio capabilities. </w:t>
      </w:r>
    </w:p>
    <w:p w14:paraId="7B07016D" w14:textId="0EB75A62" w:rsidR="003C68C5" w:rsidRDefault="00D9014D" w:rsidP="005B3926">
      <w:pPr>
        <w:spacing w:after="60"/>
      </w:pPr>
      <w:r>
        <w:t>We</w:t>
      </w:r>
      <w:r w:rsidR="001024C3">
        <w:t xml:space="preserve"> think </w:t>
      </w:r>
      <w:r w:rsidR="009A7AD7">
        <w:t xml:space="preserve">there may be </w:t>
      </w:r>
      <w:r w:rsidR="001024C3">
        <w:t xml:space="preserve">two </w:t>
      </w:r>
      <w:r w:rsidR="009A7AD7">
        <w:t xml:space="preserve">possible </w:t>
      </w:r>
      <w:r w:rsidR="001024C3">
        <w:t>options</w:t>
      </w:r>
      <w:r w:rsidR="009A18FF">
        <w:t xml:space="preserve"> for UE</w:t>
      </w:r>
      <w:r w:rsidR="009E2DF5">
        <w:t>s</w:t>
      </w:r>
      <w:r w:rsidR="009A18FF">
        <w:t xml:space="preserve"> </w:t>
      </w:r>
      <w:r w:rsidR="009E2DF5">
        <w:t xml:space="preserve">capable of fallback operations </w:t>
      </w:r>
      <w:r w:rsidR="009A18FF">
        <w:t xml:space="preserve">to report </w:t>
      </w:r>
      <w:r w:rsidR="009E2DF5">
        <w:t xml:space="preserve">their capabilities </w:t>
      </w:r>
      <w:r w:rsidR="009A7AD7">
        <w:t xml:space="preserve">, </w:t>
      </w:r>
      <w:r w:rsidR="001024C3">
        <w:t>as follows</w:t>
      </w:r>
      <w:r w:rsidR="00CE3FC5">
        <w:t>:</w:t>
      </w:r>
    </w:p>
    <w:p w14:paraId="1E43A47B" w14:textId="3C7232FC" w:rsidR="0020566A" w:rsidRDefault="00CE3FC5" w:rsidP="00FB4C17">
      <w:pPr>
        <w:pStyle w:val="ListParagraph"/>
        <w:numPr>
          <w:ilvl w:val="0"/>
          <w:numId w:val="35"/>
        </w:numPr>
        <w:spacing w:before="0"/>
        <w:ind w:leftChars="0" w:left="630" w:hanging="270"/>
      </w:pPr>
      <w:r>
        <w:t xml:space="preserve">Option 1. </w:t>
      </w:r>
      <w:r w:rsidR="00551383">
        <w:t xml:space="preserve">A </w:t>
      </w:r>
      <w:r w:rsidR="00F177D4">
        <w:t xml:space="preserve">RedCap UE capable of fallback operation </w:t>
      </w:r>
      <w:r w:rsidR="00E80348">
        <w:t>keep</w:t>
      </w:r>
      <w:r w:rsidR="00551383">
        <w:t>s</w:t>
      </w:r>
      <w:r w:rsidR="00E80348">
        <w:t xml:space="preserve"> two </w:t>
      </w:r>
      <w:r w:rsidR="00D0417B">
        <w:t xml:space="preserve">versions of </w:t>
      </w:r>
      <w:r w:rsidR="00551383">
        <w:t xml:space="preserve">its </w:t>
      </w:r>
      <w:r w:rsidR="00E80348">
        <w:t xml:space="preserve">UE Capabilities </w:t>
      </w:r>
      <w:r w:rsidR="00551383">
        <w:t>r</w:t>
      </w:r>
      <w:r w:rsidR="00E80348">
        <w:t>eport</w:t>
      </w:r>
      <w:r w:rsidR="0020566A">
        <w:t xml:space="preserve">, one for </w:t>
      </w:r>
      <w:r w:rsidR="00691878">
        <w:t xml:space="preserve">cells in which it </w:t>
      </w:r>
      <w:r w:rsidR="001D36FE">
        <w:t>is capable of</w:t>
      </w:r>
      <w:r w:rsidR="00691878">
        <w:t xml:space="preserve"> function</w:t>
      </w:r>
      <w:r w:rsidR="001D36FE">
        <w:t>ing</w:t>
      </w:r>
      <w:r w:rsidR="00691878">
        <w:t xml:space="preserve"> as a spec-compliant non-RedCap UE</w:t>
      </w:r>
      <w:r w:rsidR="004D78FA">
        <w:t xml:space="preserve">, and </w:t>
      </w:r>
      <w:r w:rsidR="007E46EA">
        <w:t>another</w:t>
      </w:r>
      <w:r w:rsidR="0020566A">
        <w:t xml:space="preserve"> for cells</w:t>
      </w:r>
      <w:r w:rsidR="004D78FA">
        <w:t xml:space="preserve"> in which it can function only as </w:t>
      </w:r>
      <w:r w:rsidR="007812C2">
        <w:t xml:space="preserve">a </w:t>
      </w:r>
      <w:r w:rsidR="004D78FA">
        <w:t>RedCap</w:t>
      </w:r>
      <w:r w:rsidR="007812C2">
        <w:t xml:space="preserve"> UE</w:t>
      </w:r>
      <w:r w:rsidR="0020566A">
        <w:t xml:space="preserve">. </w:t>
      </w:r>
      <w:r w:rsidR="007E46EA">
        <w:t xml:space="preserve">When </w:t>
      </w:r>
      <w:r w:rsidR="007812C2">
        <w:t>the UE</w:t>
      </w:r>
      <w:r w:rsidR="007E46EA">
        <w:t xml:space="preserve"> attaches to network, it submit</w:t>
      </w:r>
      <w:r w:rsidR="00B855BE">
        <w:t>s</w:t>
      </w:r>
      <w:r w:rsidR="007E46EA">
        <w:t xml:space="preserve"> both </w:t>
      </w:r>
      <w:r w:rsidR="001D36FE">
        <w:t>version</w:t>
      </w:r>
      <w:r w:rsidR="007146E1">
        <w:t>s</w:t>
      </w:r>
      <w:r w:rsidR="001D36FE">
        <w:t xml:space="preserve"> of </w:t>
      </w:r>
      <w:r w:rsidR="007146E1">
        <w:t>its UE C</w:t>
      </w:r>
      <w:r w:rsidR="006C034F">
        <w:t xml:space="preserve">apabilities report to CN. </w:t>
      </w:r>
      <w:r w:rsidR="00B855BE">
        <w:t xml:space="preserve">When the UE establishes a RRC connection, </w:t>
      </w:r>
      <w:r w:rsidR="00A41FB0">
        <w:t>CN will identify the UE as RedCap through either UE’s own NAS signaling (in case of the serving cell has a legacy gNB)</w:t>
      </w:r>
      <w:r w:rsidR="00B855BE">
        <w:t xml:space="preserve"> </w:t>
      </w:r>
      <w:r w:rsidR="00A41FB0">
        <w:t>or indication from gNB if that gNB supports RedCap</w:t>
      </w:r>
      <w:r w:rsidR="00CB6FCE">
        <w:t xml:space="preserve">. </w:t>
      </w:r>
      <w:r w:rsidR="002823AE">
        <w:t xml:space="preserve">CN then forwards the right UE </w:t>
      </w:r>
      <w:r w:rsidR="00B855BE">
        <w:t xml:space="preserve">capabilities </w:t>
      </w:r>
      <w:r w:rsidR="007812C2">
        <w:t xml:space="preserve">to the gNB accordingly. </w:t>
      </w:r>
    </w:p>
    <w:p w14:paraId="1DACFF75" w14:textId="21D1324A" w:rsidR="00EA3CE6" w:rsidRDefault="0020566A" w:rsidP="00FB4C17">
      <w:pPr>
        <w:pStyle w:val="ListParagraph"/>
        <w:numPr>
          <w:ilvl w:val="0"/>
          <w:numId w:val="35"/>
        </w:numPr>
        <w:spacing w:before="60"/>
        <w:ind w:leftChars="0" w:left="630" w:hanging="270"/>
      </w:pPr>
      <w:r>
        <w:t xml:space="preserve">Option 2. </w:t>
      </w:r>
      <w:r w:rsidR="00D0417B">
        <w:t xml:space="preserve">Design </w:t>
      </w:r>
      <w:r w:rsidR="00A30427">
        <w:t xml:space="preserve">RedCap </w:t>
      </w:r>
      <w:r w:rsidR="00D0417B">
        <w:t xml:space="preserve">UE capabilities report in a way </w:t>
      </w:r>
      <w:r w:rsidR="00A30427">
        <w:t xml:space="preserve">that it can be properly </w:t>
      </w:r>
      <w:r w:rsidR="002E1675">
        <w:t>interpreted by both legacy gNBs and RedCap-supporting gNBs</w:t>
      </w:r>
      <w:r w:rsidR="00CE3FC5">
        <w:t>.</w:t>
      </w:r>
      <w:r w:rsidR="002E1675">
        <w:t xml:space="preserve"> </w:t>
      </w:r>
      <w:r w:rsidR="007F484C">
        <w:t>It</w:t>
      </w:r>
      <w:r w:rsidR="008845F6">
        <w:t xml:space="preserve"> is possible because legacy gNBs ignores </w:t>
      </w:r>
      <w:r w:rsidR="00AB3787">
        <w:t>the fields in the non-critical extension (NCE) part of UE capability container</w:t>
      </w:r>
      <w:r w:rsidR="007F484C">
        <w:t xml:space="preserve"> (Please see the discussion in the next paragraph). </w:t>
      </w:r>
      <w:r w:rsidR="003E558D">
        <w:t>In this</w:t>
      </w:r>
      <w:r w:rsidR="00754E54">
        <w:t xml:space="preserve"> </w:t>
      </w:r>
      <w:r w:rsidR="007F484C">
        <w:t>approach</w:t>
      </w:r>
      <w:r w:rsidR="003E558D">
        <w:t>,</w:t>
      </w:r>
      <w:r w:rsidR="0034504D">
        <w:t xml:space="preserve"> </w:t>
      </w:r>
      <w:r w:rsidR="00CE6EF0">
        <w:t xml:space="preserve">CN </w:t>
      </w:r>
      <w:r w:rsidR="00F14302">
        <w:t>simply stores and forwards whatever UE radio capability it receives from gNB</w:t>
      </w:r>
      <w:r w:rsidR="005502A1">
        <w:t>, irrespective of whether UE is connected to network as a non-RedCap or RedCap UE.</w:t>
      </w:r>
      <w:r w:rsidR="00853F84">
        <w:t xml:space="preserve"> </w:t>
      </w:r>
    </w:p>
    <w:p w14:paraId="40E41F18" w14:textId="09D7EB26" w:rsidR="0061781F" w:rsidRDefault="00EA3CE6" w:rsidP="00EA3CE6">
      <w:r>
        <w:t xml:space="preserve">Between the two options, we </w:t>
      </w:r>
      <w:r w:rsidR="00452889">
        <w:t xml:space="preserve">think </w:t>
      </w:r>
      <w:r>
        <w:t xml:space="preserve">Option 2 </w:t>
      </w:r>
      <w:r w:rsidR="00D866F3">
        <w:t xml:space="preserve">has less impact on </w:t>
      </w:r>
      <w:r w:rsidR="00B42562">
        <w:t>the current capability signaling framework</w:t>
      </w:r>
      <w:r w:rsidR="001B7F10">
        <w:t xml:space="preserve"> and hence is more desirable. And we believe </w:t>
      </w:r>
      <w:r w:rsidR="001D0300">
        <w:t xml:space="preserve">Option 2 </w:t>
      </w:r>
      <w:r w:rsidR="00452889">
        <w:t xml:space="preserve">can be </w:t>
      </w:r>
      <w:r w:rsidR="00664F11">
        <w:t>accomplished if</w:t>
      </w:r>
      <w:r w:rsidR="00452889">
        <w:t xml:space="preserve"> we follow the following rules:</w:t>
      </w:r>
    </w:p>
    <w:p w14:paraId="56871EFD" w14:textId="6DD20263" w:rsidR="00CE3FC5" w:rsidRDefault="003C51C6" w:rsidP="00FB4C17">
      <w:pPr>
        <w:pStyle w:val="ListParagraph"/>
        <w:numPr>
          <w:ilvl w:val="0"/>
          <w:numId w:val="36"/>
        </w:numPr>
        <w:spacing w:before="60"/>
        <w:ind w:leftChars="0" w:left="630" w:hanging="270"/>
      </w:pPr>
      <w:r>
        <w:t xml:space="preserve">Capabilities </w:t>
      </w:r>
      <w:r w:rsidR="00730BEE">
        <w:t>that</w:t>
      </w:r>
      <w:r>
        <w:t xml:space="preserve"> are mandatory in </w:t>
      </w:r>
      <w:r w:rsidR="001C69A2">
        <w:t xml:space="preserve">legacy but optional for </w:t>
      </w:r>
      <w:r w:rsidR="00DC649A">
        <w:t>RedCap</w:t>
      </w:r>
      <w:r w:rsidR="001C69A2">
        <w:t xml:space="preserve"> (e.g. </w:t>
      </w:r>
      <w:r w:rsidR="00856825">
        <w:t xml:space="preserve">maximum number of DL MIMO layers) </w:t>
      </w:r>
      <w:r w:rsidR="00D26DEF">
        <w:t>should be</w:t>
      </w:r>
      <w:r w:rsidR="008A4A84">
        <w:t xml:space="preserve"> </w:t>
      </w:r>
      <w:r w:rsidR="00973419">
        <w:t>reported</w:t>
      </w:r>
      <w:r w:rsidR="008A4A84">
        <w:t xml:space="preserve"> in the </w:t>
      </w:r>
      <w:r w:rsidR="000E10F4">
        <w:t>NCE</w:t>
      </w:r>
      <w:r w:rsidR="008A4A84">
        <w:t xml:space="preserve"> of UE </w:t>
      </w:r>
      <w:r w:rsidR="00973419">
        <w:t xml:space="preserve">radio </w:t>
      </w:r>
      <w:r w:rsidR="008A4A84">
        <w:t>capabilit</w:t>
      </w:r>
      <w:r w:rsidR="00973419">
        <w:t>y</w:t>
      </w:r>
      <w:r w:rsidR="008A4A84">
        <w:t xml:space="preserve"> container;</w:t>
      </w:r>
    </w:p>
    <w:p w14:paraId="7DC75C15" w14:textId="2B131BE6" w:rsidR="008A4A84" w:rsidRPr="003C68C5" w:rsidRDefault="00730BEE" w:rsidP="00FB4C17">
      <w:pPr>
        <w:pStyle w:val="ListParagraph"/>
        <w:numPr>
          <w:ilvl w:val="0"/>
          <w:numId w:val="36"/>
        </w:numPr>
        <w:spacing w:before="60"/>
        <w:ind w:leftChars="0" w:left="630" w:hanging="270"/>
      </w:pPr>
      <w:r>
        <w:t>Capabilities that ar</w:t>
      </w:r>
      <w:r w:rsidR="004F2676">
        <w:t xml:space="preserve">e optional for both legacy and RedCap </w:t>
      </w:r>
      <w:r w:rsidR="00F476B5">
        <w:t xml:space="preserve">should be </w:t>
      </w:r>
      <w:r w:rsidR="00973419">
        <w:t xml:space="preserve">reported </w:t>
      </w:r>
      <w:r w:rsidR="00462BA5">
        <w:t xml:space="preserve">separately </w:t>
      </w:r>
      <w:r w:rsidR="00973419">
        <w:t xml:space="preserve">in </w:t>
      </w:r>
      <w:r w:rsidR="00462BA5">
        <w:t xml:space="preserve">both </w:t>
      </w:r>
      <w:r w:rsidR="00973419">
        <w:t xml:space="preserve">the </w:t>
      </w:r>
      <w:r w:rsidR="00462BA5">
        <w:t xml:space="preserve">legacy </w:t>
      </w:r>
      <w:r w:rsidR="00E278FE">
        <w:t xml:space="preserve">part </w:t>
      </w:r>
      <w:r w:rsidR="00462BA5">
        <w:t xml:space="preserve">and the </w:t>
      </w:r>
      <w:r w:rsidR="000E10F4">
        <w:t>NCE</w:t>
      </w:r>
      <w:r w:rsidR="00973419">
        <w:t xml:space="preserve"> </w:t>
      </w:r>
      <w:r w:rsidR="00462BA5">
        <w:t xml:space="preserve">part </w:t>
      </w:r>
      <w:r w:rsidR="00973419">
        <w:t>of UE radio capability container</w:t>
      </w:r>
      <w:r w:rsidR="00A260E9">
        <w:t>.</w:t>
      </w:r>
      <w:r w:rsidR="00F476B5">
        <w:t xml:space="preserve"> </w:t>
      </w:r>
      <w:r w:rsidR="00BB0F36">
        <w:t xml:space="preserve">This rule allows legacy gNB to </w:t>
      </w:r>
      <w:r w:rsidR="00784618">
        <w:t xml:space="preserve">interpret </w:t>
      </w:r>
      <w:r w:rsidR="005F4BCB">
        <w:t>the legacy part of UE capability container without potential misunderstanding.</w:t>
      </w:r>
      <w:r w:rsidR="00A260E9">
        <w:t xml:space="preserve"> </w:t>
      </w:r>
    </w:p>
    <w:p w14:paraId="31C05C5D" w14:textId="1722062C" w:rsidR="003E558D" w:rsidRPr="003E558D" w:rsidRDefault="0049338C" w:rsidP="00C95EB7">
      <w:pPr>
        <w:tabs>
          <w:tab w:val="left" w:pos="1440"/>
        </w:tabs>
        <w:ind w:left="1440" w:hanging="1440"/>
        <w:rPr>
          <w:b/>
          <w:bCs w:val="0"/>
        </w:rPr>
      </w:pPr>
      <w:r w:rsidRPr="003E558D">
        <w:rPr>
          <w:b/>
          <w:bCs w:val="0"/>
        </w:rPr>
        <w:t xml:space="preserve">Proposal </w:t>
      </w:r>
      <w:r w:rsidR="009E2DF5">
        <w:rPr>
          <w:b/>
          <w:bCs w:val="0"/>
        </w:rPr>
        <w:t>4</w:t>
      </w:r>
      <w:r w:rsidR="005B3926" w:rsidRPr="003E558D">
        <w:rPr>
          <w:b/>
          <w:bCs w:val="0"/>
        </w:rPr>
        <w:t xml:space="preserve">. </w:t>
      </w:r>
      <w:r w:rsidR="003E558D">
        <w:rPr>
          <w:b/>
          <w:bCs w:val="0"/>
        </w:rPr>
        <w:tab/>
      </w:r>
      <w:r w:rsidR="00AC07CC" w:rsidRPr="003E558D">
        <w:rPr>
          <w:b/>
          <w:bCs w:val="0"/>
        </w:rPr>
        <w:t xml:space="preserve">To support </w:t>
      </w:r>
      <w:r w:rsidR="00A26F2D">
        <w:rPr>
          <w:b/>
          <w:bCs w:val="0"/>
        </w:rPr>
        <w:t>fallback operation</w:t>
      </w:r>
      <w:r w:rsidR="00AC07CC" w:rsidRPr="003E558D">
        <w:rPr>
          <w:b/>
          <w:bCs w:val="0"/>
        </w:rPr>
        <w:t xml:space="preserve"> with the existing UE signaling framework</w:t>
      </w:r>
      <w:r w:rsidR="005B3926" w:rsidRPr="003E558D">
        <w:rPr>
          <w:b/>
          <w:bCs w:val="0"/>
        </w:rPr>
        <w:t xml:space="preserve">, </w:t>
      </w:r>
      <w:r w:rsidR="003E558D" w:rsidRPr="003E558D">
        <w:rPr>
          <w:b/>
          <w:bCs w:val="0"/>
        </w:rPr>
        <w:t xml:space="preserve">apply the following capability reporting rules for </w:t>
      </w:r>
      <w:r w:rsidR="003E558D" w:rsidRPr="00070B44">
        <w:rPr>
          <w:b/>
          <w:bCs w:val="0"/>
          <w:u w:val="single"/>
        </w:rPr>
        <w:t>all</w:t>
      </w:r>
      <w:r w:rsidR="003E558D" w:rsidRPr="003E558D">
        <w:rPr>
          <w:b/>
          <w:bCs w:val="0"/>
        </w:rPr>
        <w:t xml:space="preserve"> RedCap UEs:</w:t>
      </w:r>
    </w:p>
    <w:p w14:paraId="298CB666" w14:textId="468B5E6E" w:rsidR="003E558D" w:rsidRPr="00C95EB7" w:rsidRDefault="003E558D" w:rsidP="00C95EB7">
      <w:pPr>
        <w:pStyle w:val="ListParagraph"/>
        <w:numPr>
          <w:ilvl w:val="0"/>
          <w:numId w:val="36"/>
        </w:numPr>
        <w:spacing w:before="60"/>
        <w:ind w:leftChars="0" w:left="1800" w:hanging="274"/>
        <w:rPr>
          <w:b/>
          <w:bCs w:val="0"/>
        </w:rPr>
      </w:pPr>
      <w:r w:rsidRPr="00C95EB7">
        <w:rPr>
          <w:b/>
          <w:bCs w:val="0"/>
        </w:rPr>
        <w:t>Capabilities that are mandatory in legacy but optional for RedCap should be reported in the NCE of UE radio capability container;</w:t>
      </w:r>
    </w:p>
    <w:p w14:paraId="163E1DAE" w14:textId="7CFB130A" w:rsidR="003E558D" w:rsidRDefault="003E558D" w:rsidP="00C95EB7">
      <w:pPr>
        <w:pStyle w:val="ListParagraph"/>
        <w:numPr>
          <w:ilvl w:val="0"/>
          <w:numId w:val="36"/>
        </w:numPr>
        <w:spacing w:before="60"/>
        <w:ind w:leftChars="0" w:left="1800" w:hanging="274"/>
        <w:rPr>
          <w:b/>
          <w:bCs w:val="0"/>
        </w:rPr>
      </w:pPr>
      <w:r w:rsidRPr="00C95EB7">
        <w:rPr>
          <w:b/>
          <w:bCs w:val="0"/>
        </w:rPr>
        <w:t xml:space="preserve">Capabilities that are optional both legacy and RedCap should be reported </w:t>
      </w:r>
      <w:r w:rsidR="00B22D92">
        <w:rPr>
          <w:b/>
          <w:bCs w:val="0"/>
        </w:rPr>
        <w:t xml:space="preserve">separately </w:t>
      </w:r>
      <w:r w:rsidRPr="00C95EB7">
        <w:rPr>
          <w:b/>
          <w:bCs w:val="0"/>
        </w:rPr>
        <w:t xml:space="preserve">in </w:t>
      </w:r>
      <w:r w:rsidR="00B22D92">
        <w:rPr>
          <w:b/>
          <w:bCs w:val="0"/>
        </w:rPr>
        <w:t xml:space="preserve">both </w:t>
      </w:r>
      <w:r w:rsidRPr="00C95EB7">
        <w:rPr>
          <w:b/>
          <w:bCs w:val="0"/>
        </w:rPr>
        <w:t xml:space="preserve">the </w:t>
      </w:r>
      <w:r w:rsidR="00B22D92">
        <w:rPr>
          <w:b/>
          <w:bCs w:val="0"/>
        </w:rPr>
        <w:t xml:space="preserve">legacy and the </w:t>
      </w:r>
      <w:r w:rsidRPr="00C95EB7">
        <w:rPr>
          <w:b/>
          <w:bCs w:val="0"/>
        </w:rPr>
        <w:t xml:space="preserve">NCE </w:t>
      </w:r>
      <w:r w:rsidR="00B22D92">
        <w:rPr>
          <w:b/>
          <w:bCs w:val="0"/>
        </w:rPr>
        <w:t xml:space="preserve">part </w:t>
      </w:r>
      <w:r w:rsidRPr="00C95EB7">
        <w:rPr>
          <w:b/>
          <w:bCs w:val="0"/>
        </w:rPr>
        <w:t>of UE radio capability container</w:t>
      </w:r>
      <w:r w:rsidR="00C95EB7" w:rsidRPr="00C95EB7">
        <w:rPr>
          <w:b/>
          <w:bCs w:val="0"/>
        </w:rPr>
        <w:t>.</w:t>
      </w:r>
      <w:r w:rsidRPr="00C95EB7">
        <w:rPr>
          <w:b/>
          <w:bCs w:val="0"/>
        </w:rPr>
        <w:t xml:space="preserve"> </w:t>
      </w:r>
    </w:p>
    <w:p w14:paraId="104EF9E2" w14:textId="77777777" w:rsidR="007A7356" w:rsidRPr="00D45FA3" w:rsidRDefault="007A7356" w:rsidP="00FB4C17">
      <w:pPr>
        <w:spacing w:before="240"/>
        <w:rPr>
          <w:u w:val="single"/>
        </w:rPr>
      </w:pPr>
      <w:r>
        <w:rPr>
          <w:u w:val="single"/>
        </w:rPr>
        <w:t>Handover</w:t>
      </w:r>
    </w:p>
    <w:p w14:paraId="46DBBCCF" w14:textId="075E2158" w:rsidR="003B52F7" w:rsidRDefault="007A7356" w:rsidP="007A7356">
      <w:pPr>
        <w:rPr>
          <w:rFonts w:eastAsia="Yu Gothic" w:cstheme="minorBidi"/>
          <w:color w:val="000000" w:themeColor="text1"/>
          <w:lang w:eastAsia="ja-JP"/>
        </w:rPr>
      </w:pPr>
      <w:r>
        <w:t>When UE is hand</w:t>
      </w:r>
      <w:r w:rsidR="00C1104C">
        <w:t xml:space="preserve">ed </w:t>
      </w:r>
      <w:r>
        <w:t xml:space="preserve">over from one cell to another, it is possible that it has to change its </w:t>
      </w:r>
      <w:r w:rsidR="002354DE">
        <w:t xml:space="preserve">UE </w:t>
      </w:r>
      <w:r w:rsidR="005E342E">
        <w:t>type</w:t>
      </w:r>
      <w:r>
        <w:t xml:space="preserve">, e.g. </w:t>
      </w:r>
      <w:r w:rsidR="002354DE">
        <w:t xml:space="preserve">UE </w:t>
      </w:r>
      <w:r w:rsidR="004D4DC9">
        <w:t xml:space="preserve">either </w:t>
      </w:r>
      <w:r>
        <w:t>switch</w:t>
      </w:r>
      <w:r w:rsidR="00195113">
        <w:t>e</w:t>
      </w:r>
      <w:r w:rsidR="002354DE">
        <w:t>s</w:t>
      </w:r>
      <w:r>
        <w:t xml:space="preserve"> from RedCap to non-RedCap due to lack of RedCap-supporting target cells</w:t>
      </w:r>
      <w:r w:rsidR="004D4DC9">
        <w:t>, or switch from non-RedCap back to RedCap</w:t>
      </w:r>
      <w:r w:rsidR="00897641">
        <w:t xml:space="preserve"> when it moves from a legacy cell to RedCap-supporting cell</w:t>
      </w:r>
      <w:r>
        <w:t xml:space="preserve">. </w:t>
      </w:r>
    </w:p>
    <w:p w14:paraId="53DA8B52" w14:textId="47A01E2C" w:rsidR="00213502" w:rsidRDefault="00497EB1" w:rsidP="00FB4C17">
      <w:pPr>
        <w:spacing w:after="60"/>
      </w:pPr>
      <w:r>
        <w:t xml:space="preserve">If the source cell supports RedCap, </w:t>
      </w:r>
      <w:r w:rsidR="00A953D8">
        <w:t xml:space="preserve">then </w:t>
      </w:r>
      <w:r>
        <w:t xml:space="preserve">it can learn from neighbor cells which one of them supports RedCap. </w:t>
      </w:r>
    </w:p>
    <w:p w14:paraId="71FEB463" w14:textId="64B25127" w:rsidR="00213502" w:rsidRPr="00FB4C17" w:rsidRDefault="00497EB1" w:rsidP="00FB4C17">
      <w:pPr>
        <w:pStyle w:val="ListParagraph"/>
        <w:numPr>
          <w:ilvl w:val="0"/>
          <w:numId w:val="39"/>
        </w:numPr>
        <w:spacing w:before="0" w:after="60"/>
        <w:ind w:leftChars="0" w:left="630" w:hanging="270"/>
        <w:rPr>
          <w:rFonts w:eastAsia="Yu Gothic" w:cstheme="minorBidi"/>
          <w:color w:val="000000" w:themeColor="text1"/>
          <w:lang w:eastAsia="ja-JP"/>
        </w:rPr>
      </w:pPr>
      <w:r>
        <w:t xml:space="preserve">If there is at least one </w:t>
      </w:r>
      <w:r w:rsidR="00F0273E">
        <w:t xml:space="preserve">such </w:t>
      </w:r>
      <w:r w:rsidR="00601355">
        <w:t>a</w:t>
      </w:r>
      <w:r w:rsidR="00F0273E">
        <w:t xml:space="preserve"> cell</w:t>
      </w:r>
      <w:r>
        <w:t xml:space="preserve">, then it should configure the UE to measure only RedCap-supporting neighbor cells and handover the UE to one of them. </w:t>
      </w:r>
      <w:r w:rsidR="005D5F93">
        <w:t xml:space="preserve">In other words, </w:t>
      </w:r>
      <w:r w:rsidR="00C854A8">
        <w:t>access as RedCap should prioritize over other mobility criteria.</w:t>
      </w:r>
    </w:p>
    <w:p w14:paraId="0B23FB37" w14:textId="5FA47845" w:rsidR="00163EEC" w:rsidRPr="00FB4C17" w:rsidRDefault="00497EB1" w:rsidP="00FB4C17">
      <w:pPr>
        <w:pStyle w:val="ListParagraph"/>
        <w:numPr>
          <w:ilvl w:val="0"/>
          <w:numId w:val="39"/>
        </w:numPr>
        <w:spacing w:before="0" w:after="60"/>
        <w:ind w:leftChars="0" w:left="630" w:hanging="270"/>
        <w:rPr>
          <w:rFonts w:eastAsia="Yu Gothic" w:cstheme="minorBidi"/>
          <w:color w:val="000000" w:themeColor="text1"/>
          <w:lang w:eastAsia="ja-JP"/>
        </w:rPr>
      </w:pPr>
      <w:r>
        <w:lastRenderedPageBreak/>
        <w:t xml:space="preserve">If there is no neighbor cell that supports RedCap but </w:t>
      </w:r>
      <w:r w:rsidR="002036B0">
        <w:t xml:space="preserve">UE can access </w:t>
      </w:r>
      <w:r>
        <w:t xml:space="preserve">at least one </w:t>
      </w:r>
      <w:r w:rsidR="002036B0">
        <w:t>of them</w:t>
      </w:r>
      <w:r>
        <w:t xml:space="preserve"> as a non-RedCap UE, then the source cell may handover the UE to one of those legacy cells. </w:t>
      </w:r>
      <w:r w:rsidR="00B62E38">
        <w:t xml:space="preserve">The </w:t>
      </w:r>
      <w:r w:rsidR="00AA74DB">
        <w:t xml:space="preserve">UE </w:t>
      </w:r>
      <w:r w:rsidR="00B62E38">
        <w:t xml:space="preserve">changes its </w:t>
      </w:r>
      <w:r w:rsidR="00580FE2">
        <w:t xml:space="preserve">UE </w:t>
      </w:r>
      <w:r w:rsidR="00AA74DB">
        <w:t xml:space="preserve">type to non-RedCap after the handover. </w:t>
      </w:r>
      <w:r w:rsidR="00163EEC" w:rsidRPr="00FB4C17">
        <w:rPr>
          <w:rFonts w:eastAsia="Yu Gothic" w:cstheme="minorBidi"/>
          <w:color w:val="000000" w:themeColor="text1"/>
          <w:lang w:eastAsia="ja-JP"/>
        </w:rPr>
        <w:t xml:space="preserve">This change can be either prompted by an explicit indication in handover command or made by UE itself after checking the target cell’s SIB for support of RedCap. </w:t>
      </w:r>
    </w:p>
    <w:p w14:paraId="2A2F8165" w14:textId="47A38E02" w:rsidR="00B056B1" w:rsidRDefault="00497EB1" w:rsidP="00497EB1">
      <w:pPr>
        <w:tabs>
          <w:tab w:val="left" w:pos="1440"/>
        </w:tabs>
        <w:spacing w:after="60"/>
        <w:ind w:left="1440" w:hanging="1440"/>
        <w:rPr>
          <w:b/>
          <w:bCs w:val="0"/>
        </w:rPr>
      </w:pPr>
      <w:r w:rsidRPr="006413A6">
        <w:rPr>
          <w:b/>
          <w:bCs w:val="0"/>
        </w:rPr>
        <w:t xml:space="preserve">Proposal </w:t>
      </w:r>
      <w:r w:rsidR="009E2DF5">
        <w:rPr>
          <w:b/>
          <w:bCs w:val="0"/>
        </w:rPr>
        <w:t>5</w:t>
      </w:r>
      <w:r w:rsidRPr="006413A6">
        <w:rPr>
          <w:b/>
          <w:bCs w:val="0"/>
        </w:rPr>
        <w:t xml:space="preserve">. </w:t>
      </w:r>
      <w:r>
        <w:rPr>
          <w:b/>
          <w:bCs w:val="0"/>
        </w:rPr>
        <w:tab/>
      </w:r>
      <w:bookmarkStart w:id="2" w:name="_Hlk91018398"/>
      <w:r w:rsidR="00EA53C1">
        <w:rPr>
          <w:b/>
          <w:bCs w:val="0"/>
        </w:rPr>
        <w:t>During handover</w:t>
      </w:r>
      <w:r w:rsidR="00D03A07">
        <w:rPr>
          <w:b/>
          <w:bCs w:val="0"/>
        </w:rPr>
        <w:t xml:space="preserve"> for a RedCap UE</w:t>
      </w:r>
      <w:r w:rsidR="00EA53C1">
        <w:rPr>
          <w:b/>
          <w:bCs w:val="0"/>
        </w:rPr>
        <w:t xml:space="preserve">, </w:t>
      </w:r>
      <w:r w:rsidR="00D03A07">
        <w:rPr>
          <w:b/>
          <w:bCs w:val="0"/>
        </w:rPr>
        <w:t>i</w:t>
      </w:r>
      <w:r w:rsidRPr="006413A6">
        <w:rPr>
          <w:b/>
          <w:bCs w:val="0"/>
        </w:rPr>
        <w:t xml:space="preserve">f </w:t>
      </w:r>
      <w:r>
        <w:rPr>
          <w:b/>
          <w:bCs w:val="0"/>
        </w:rPr>
        <w:t>the</w:t>
      </w:r>
      <w:r w:rsidRPr="006413A6">
        <w:rPr>
          <w:b/>
          <w:bCs w:val="0"/>
        </w:rPr>
        <w:t xml:space="preserve"> source cell supports RedCap, </w:t>
      </w:r>
    </w:p>
    <w:p w14:paraId="704B94DD" w14:textId="465DBB84" w:rsidR="009774A6" w:rsidRDefault="00497EB1" w:rsidP="00FB4C17">
      <w:pPr>
        <w:pStyle w:val="ListParagraph"/>
        <w:numPr>
          <w:ilvl w:val="0"/>
          <w:numId w:val="38"/>
        </w:numPr>
        <w:tabs>
          <w:tab w:val="left" w:pos="1440"/>
        </w:tabs>
        <w:spacing w:before="0" w:after="60"/>
        <w:ind w:leftChars="0" w:left="1814" w:hanging="187"/>
        <w:rPr>
          <w:b/>
          <w:bCs w:val="0"/>
        </w:rPr>
      </w:pPr>
      <w:r w:rsidRPr="00FB4C17">
        <w:rPr>
          <w:b/>
          <w:bCs w:val="0"/>
        </w:rPr>
        <w:t xml:space="preserve">it should select a target cell for </w:t>
      </w:r>
      <w:r w:rsidR="000E4093" w:rsidRPr="00FB4C17">
        <w:rPr>
          <w:b/>
          <w:bCs w:val="0"/>
        </w:rPr>
        <w:t>the</w:t>
      </w:r>
      <w:r w:rsidRPr="00FB4C17">
        <w:rPr>
          <w:b/>
          <w:bCs w:val="0"/>
        </w:rPr>
        <w:t xml:space="preserve"> UE only among RedCap-supporting neighbor cells, unless no such cells are available</w:t>
      </w:r>
      <w:r w:rsidR="00B056B1">
        <w:rPr>
          <w:b/>
          <w:bCs w:val="0"/>
        </w:rPr>
        <w:t>;</w:t>
      </w:r>
    </w:p>
    <w:p w14:paraId="44CD83A0" w14:textId="14EF97B0" w:rsidR="00497EB1" w:rsidRPr="00FB4C17" w:rsidRDefault="00B056B1" w:rsidP="00FB4C17">
      <w:pPr>
        <w:pStyle w:val="ListParagraph"/>
        <w:numPr>
          <w:ilvl w:val="0"/>
          <w:numId w:val="38"/>
        </w:numPr>
        <w:spacing w:before="0" w:after="60"/>
        <w:ind w:leftChars="0" w:left="1814" w:hanging="187"/>
        <w:rPr>
          <w:b/>
          <w:bCs w:val="0"/>
        </w:rPr>
      </w:pPr>
      <w:r w:rsidRPr="00FB4C17">
        <w:rPr>
          <w:b/>
          <w:bCs w:val="0"/>
        </w:rPr>
        <w:t xml:space="preserve">Otherwise, </w:t>
      </w:r>
      <w:r w:rsidR="00CE7F1D" w:rsidRPr="00FB4C17">
        <w:rPr>
          <w:b/>
          <w:bCs w:val="0"/>
        </w:rPr>
        <w:t xml:space="preserve">it should handover the UE to a legacy cell </w:t>
      </w:r>
      <w:r w:rsidR="00F1347C" w:rsidRPr="00FB4C17">
        <w:rPr>
          <w:b/>
          <w:bCs w:val="0"/>
        </w:rPr>
        <w:t>to</w:t>
      </w:r>
      <w:r w:rsidR="00CE7F1D" w:rsidRPr="00FB4C17">
        <w:rPr>
          <w:b/>
          <w:bCs w:val="0"/>
        </w:rPr>
        <w:t xml:space="preserve"> which </w:t>
      </w:r>
      <w:r w:rsidR="00C42500">
        <w:rPr>
          <w:b/>
          <w:bCs w:val="0"/>
        </w:rPr>
        <w:t xml:space="preserve">the </w:t>
      </w:r>
      <w:r w:rsidR="00F1347C" w:rsidRPr="00FB4C17">
        <w:rPr>
          <w:b/>
          <w:bCs w:val="0"/>
        </w:rPr>
        <w:t xml:space="preserve">UE can </w:t>
      </w:r>
      <w:r w:rsidR="00C42500">
        <w:rPr>
          <w:b/>
          <w:bCs w:val="0"/>
        </w:rPr>
        <w:t>access as non-RedCap</w:t>
      </w:r>
      <w:r w:rsidR="00F1347C" w:rsidRPr="00FB4C17">
        <w:rPr>
          <w:b/>
          <w:bCs w:val="0"/>
        </w:rPr>
        <w:t xml:space="preserve">. </w:t>
      </w:r>
      <w:r w:rsidR="009774A6" w:rsidRPr="00FB4C17">
        <w:rPr>
          <w:b/>
          <w:bCs w:val="0"/>
        </w:rPr>
        <w:t xml:space="preserve">FFS whether this </w:t>
      </w:r>
      <w:r w:rsidR="00AA601C">
        <w:rPr>
          <w:b/>
          <w:bCs w:val="0"/>
        </w:rPr>
        <w:t>handover</w:t>
      </w:r>
      <w:r w:rsidR="009774A6" w:rsidRPr="00FB4C17">
        <w:rPr>
          <w:b/>
          <w:bCs w:val="0"/>
        </w:rPr>
        <w:t xml:space="preserve"> is based on </w:t>
      </w:r>
      <w:r w:rsidR="007A58A5">
        <w:rPr>
          <w:b/>
          <w:bCs w:val="0"/>
        </w:rPr>
        <w:t>an</w:t>
      </w:r>
      <w:r w:rsidR="00AA601C">
        <w:rPr>
          <w:b/>
          <w:bCs w:val="0"/>
        </w:rPr>
        <w:t xml:space="preserve"> </w:t>
      </w:r>
      <w:r w:rsidR="009774A6" w:rsidRPr="00FB4C17">
        <w:rPr>
          <w:b/>
          <w:bCs w:val="0"/>
        </w:rPr>
        <w:t xml:space="preserve">indication </w:t>
      </w:r>
      <w:r w:rsidR="007A58A5">
        <w:rPr>
          <w:b/>
          <w:bCs w:val="0"/>
        </w:rPr>
        <w:t xml:space="preserve">in handover command </w:t>
      </w:r>
      <w:r w:rsidR="009774A6" w:rsidRPr="00FB4C17">
        <w:rPr>
          <w:b/>
          <w:bCs w:val="0"/>
        </w:rPr>
        <w:t>or by UE implementation.</w:t>
      </w:r>
      <w:r w:rsidR="00497EB1" w:rsidRPr="00834984">
        <w:rPr>
          <w:b/>
          <w:bCs w:val="0"/>
        </w:rPr>
        <w:t xml:space="preserve"> </w:t>
      </w:r>
    </w:p>
    <w:bookmarkEnd w:id="2"/>
    <w:p w14:paraId="1B3F7D53" w14:textId="4FAE41E0" w:rsidR="00497EB1" w:rsidRDefault="00497EB1" w:rsidP="00497EB1">
      <w:r>
        <w:t>If a source cell does not support RedCap, the situation is a bit diff</w:t>
      </w:r>
      <w:r w:rsidR="008773BA">
        <w:t>erent</w:t>
      </w:r>
      <w:r>
        <w:t xml:space="preserve">, as the source cell can’t tell whether a neighbor cell supports RedCap or not. We think a good option is just to leave </w:t>
      </w:r>
      <w:r w:rsidR="00580FE2">
        <w:t>it</w:t>
      </w:r>
      <w:r>
        <w:t xml:space="preserve"> to UE </w:t>
      </w:r>
      <w:r w:rsidR="00580FE2">
        <w:t>to decide whether to change its UE type</w:t>
      </w:r>
      <w:r>
        <w:t xml:space="preserve">. </w:t>
      </w:r>
      <w:r w:rsidR="002A6C4C">
        <w:t>For example, after the handover, a</w:t>
      </w:r>
      <w:r>
        <w:t xml:space="preserve"> RedCap UE can learn whether its new serving cell supports RedCap or </w:t>
      </w:r>
      <w:r w:rsidR="00D87600">
        <w:t xml:space="preserve">it </w:t>
      </w:r>
      <w:r w:rsidR="0001416D">
        <w:t xml:space="preserve">can </w:t>
      </w:r>
      <w:r w:rsidR="00D87600">
        <w:t>a</w:t>
      </w:r>
      <w:r w:rsidR="00FD713A">
        <w:t xml:space="preserve">ccess </w:t>
      </w:r>
      <w:r w:rsidR="00D87600">
        <w:t xml:space="preserve">the cell </w:t>
      </w:r>
      <w:r w:rsidR="00FD713A">
        <w:t>as a non-RedCa</w:t>
      </w:r>
      <w:r w:rsidR="002A6C4C">
        <w:t>p UE</w:t>
      </w:r>
      <w:r>
        <w:t xml:space="preserve">. If the UE’s new serving cell does not support RedCap, the UE can decide by itself whether to continue in this cell or autonomously reselect another cell which supports RedCap (e.g. through RRC re-establishment). This decision, for example, could be based on whether any RedCap-supporting neighbor cells are available, or whether it is in the middle of a delay-sensitive application (e.g. voice call) so that cell reselection may cause interruption to traffic, or other factors.  </w:t>
      </w:r>
    </w:p>
    <w:p w14:paraId="47167213" w14:textId="54D65197" w:rsidR="007A7356" w:rsidRPr="00FB4C17" w:rsidRDefault="00497EB1" w:rsidP="00FB4C17">
      <w:pPr>
        <w:ind w:left="1440" w:hanging="1440"/>
        <w:rPr>
          <w:b/>
          <w:bCs w:val="0"/>
        </w:rPr>
      </w:pPr>
      <w:r w:rsidRPr="00140B1B">
        <w:rPr>
          <w:b/>
          <w:bCs w:val="0"/>
        </w:rPr>
        <w:t xml:space="preserve">Proposal </w:t>
      </w:r>
      <w:r w:rsidR="009E2DF5">
        <w:rPr>
          <w:b/>
          <w:bCs w:val="0"/>
        </w:rPr>
        <w:t>6</w:t>
      </w:r>
      <w:r w:rsidRPr="00140B1B">
        <w:rPr>
          <w:b/>
          <w:bCs w:val="0"/>
        </w:rPr>
        <w:t xml:space="preserve">.  </w:t>
      </w:r>
      <w:r>
        <w:rPr>
          <w:b/>
          <w:bCs w:val="0"/>
        </w:rPr>
        <w:tab/>
      </w:r>
      <w:r w:rsidRPr="00140B1B">
        <w:rPr>
          <w:b/>
          <w:bCs w:val="0"/>
        </w:rPr>
        <w:t xml:space="preserve">If a </w:t>
      </w:r>
      <w:r w:rsidR="00E11BD7">
        <w:rPr>
          <w:b/>
          <w:bCs w:val="0"/>
        </w:rPr>
        <w:t xml:space="preserve">legacy source cell handover </w:t>
      </w:r>
      <w:r w:rsidR="00B96EFA">
        <w:rPr>
          <w:b/>
          <w:bCs w:val="0"/>
        </w:rPr>
        <w:t xml:space="preserve">a </w:t>
      </w:r>
      <w:r w:rsidRPr="00140B1B">
        <w:rPr>
          <w:b/>
          <w:bCs w:val="0"/>
        </w:rPr>
        <w:t>RedCap UE</w:t>
      </w:r>
      <w:r>
        <w:rPr>
          <w:b/>
          <w:bCs w:val="0"/>
        </w:rPr>
        <w:t xml:space="preserve"> </w:t>
      </w:r>
      <w:r w:rsidRPr="00140B1B">
        <w:rPr>
          <w:b/>
          <w:bCs w:val="0"/>
        </w:rPr>
        <w:t>to a</w:t>
      </w:r>
      <w:r w:rsidR="00FC557E">
        <w:rPr>
          <w:b/>
          <w:bCs w:val="0"/>
        </w:rPr>
        <w:t>nother</w:t>
      </w:r>
      <w:r w:rsidRPr="00140B1B">
        <w:rPr>
          <w:b/>
          <w:bCs w:val="0"/>
        </w:rPr>
        <w:t xml:space="preserve"> legacy cell, </w:t>
      </w:r>
      <w:r>
        <w:rPr>
          <w:b/>
          <w:bCs w:val="0"/>
        </w:rPr>
        <w:t>i</w:t>
      </w:r>
      <w:r w:rsidRPr="00E5453E">
        <w:rPr>
          <w:b/>
          <w:bCs w:val="0"/>
        </w:rPr>
        <w:t>t is up to UE implementation whether</w:t>
      </w:r>
      <w:r>
        <w:rPr>
          <w:b/>
          <w:bCs w:val="0"/>
        </w:rPr>
        <w:t xml:space="preserve">/when </w:t>
      </w:r>
      <w:r w:rsidRPr="00E5453E">
        <w:rPr>
          <w:b/>
          <w:bCs w:val="0"/>
        </w:rPr>
        <w:t>to reselect to a RedCap-support</w:t>
      </w:r>
      <w:r>
        <w:rPr>
          <w:b/>
          <w:bCs w:val="0"/>
        </w:rPr>
        <w:t>ing</w:t>
      </w:r>
      <w:r w:rsidRPr="00E5453E">
        <w:rPr>
          <w:b/>
          <w:bCs w:val="0"/>
        </w:rPr>
        <w:t xml:space="preserve"> cell (e.g. by RRC re</w:t>
      </w:r>
      <w:r>
        <w:rPr>
          <w:b/>
          <w:bCs w:val="0"/>
        </w:rPr>
        <w:t>-</w:t>
      </w:r>
      <w:r w:rsidRPr="00E5453E">
        <w:rPr>
          <w:b/>
          <w:bCs w:val="0"/>
        </w:rPr>
        <w:t>establishment)</w:t>
      </w:r>
      <w:r>
        <w:rPr>
          <w:b/>
          <w:bCs w:val="0"/>
        </w:rPr>
        <w:t>.</w:t>
      </w:r>
    </w:p>
    <w:p w14:paraId="67CBA11B" w14:textId="77777777" w:rsidR="005D45A6" w:rsidRDefault="005D45A6" w:rsidP="005D45A6">
      <w:pPr>
        <w:pStyle w:val="Heading2"/>
        <w:spacing w:before="360"/>
      </w:pPr>
      <w:r>
        <w:t>Signaling with core network</w:t>
      </w:r>
    </w:p>
    <w:p w14:paraId="569A1335" w14:textId="77777777" w:rsidR="00592D29" w:rsidRDefault="001A5B14" w:rsidP="00D12DEC">
      <w:pPr>
        <w:spacing w:before="180"/>
      </w:pPr>
      <w:r w:rsidRPr="00FB4C17">
        <w:t>Red</w:t>
      </w:r>
      <w:r>
        <w:t>Cap UE</w:t>
      </w:r>
      <w:r w:rsidR="00FD0A91">
        <w:t>s</w:t>
      </w:r>
      <w:r>
        <w:t xml:space="preserve"> </w:t>
      </w:r>
      <w:r w:rsidR="00D01A46">
        <w:t xml:space="preserve">need to identify </w:t>
      </w:r>
      <w:r w:rsidR="004E7845">
        <w:t>the</w:t>
      </w:r>
      <w:r w:rsidR="008F67B3">
        <w:t>ir UE type</w:t>
      </w:r>
      <w:r w:rsidR="00D01A46">
        <w:t xml:space="preserve"> when </w:t>
      </w:r>
      <w:r>
        <w:t>access</w:t>
      </w:r>
      <w:r w:rsidR="00D01A46">
        <w:t>ing</w:t>
      </w:r>
      <w:r>
        <w:t xml:space="preserve"> network, </w:t>
      </w:r>
      <w:r w:rsidR="00FD0A91">
        <w:t xml:space="preserve">because they </w:t>
      </w:r>
      <w:r w:rsidR="005E3AB1">
        <w:t>are</w:t>
      </w:r>
      <w:r w:rsidR="00FD0A91">
        <w:t xml:space="preserve"> handled differently from regular UE</w:t>
      </w:r>
      <w:r w:rsidR="00F56784">
        <w:t xml:space="preserve">s in both RAN and CN. </w:t>
      </w:r>
      <w:r w:rsidR="00E01B41">
        <w:t xml:space="preserve">For example, </w:t>
      </w:r>
      <w:r w:rsidR="0063666D">
        <w:t>CN may limit certain services to R</w:t>
      </w:r>
      <w:r w:rsidR="00BE750A">
        <w:t xml:space="preserve">edCap UEs, or have different charging plans for RedCap UEs. </w:t>
      </w:r>
    </w:p>
    <w:p w14:paraId="3DF4E8B1" w14:textId="18A55F47" w:rsidR="000C54FF" w:rsidRDefault="00B85B66" w:rsidP="00D12DEC">
      <w:pPr>
        <w:spacing w:before="180"/>
      </w:pPr>
      <w:r>
        <w:t xml:space="preserve">The current agreement is that </w:t>
      </w:r>
      <w:r w:rsidRPr="00B85B66">
        <w:t xml:space="preserve">RedCap UEs identify themselves </w:t>
      </w:r>
      <w:r>
        <w:t>via</w:t>
      </w:r>
      <w:r w:rsidRPr="00B85B66">
        <w:t xml:space="preserve"> either Msg1/A or Msg3. When the serving gNB establishes RRC connection for the UE, it signals AMF that the UE is RedCap (see TS23.501)</w:t>
      </w:r>
      <w:r w:rsidR="0058043D">
        <w:t xml:space="preserve">. </w:t>
      </w:r>
      <w:r w:rsidR="00A66293">
        <w:t xml:space="preserve">However, </w:t>
      </w:r>
      <w:r w:rsidR="00F63F3A">
        <w:t>w</w:t>
      </w:r>
      <w:r w:rsidR="00A66293" w:rsidRPr="00A66293">
        <w:t>hen a RedCap UE access</w:t>
      </w:r>
      <w:r w:rsidR="00F63F3A">
        <w:t xml:space="preserve">es network </w:t>
      </w:r>
      <w:r w:rsidR="00A66293" w:rsidRPr="00A66293">
        <w:t>through a legacy gNB</w:t>
      </w:r>
      <w:r w:rsidR="00341FCE">
        <w:t xml:space="preserve"> </w:t>
      </w:r>
      <w:r w:rsidR="00E560BE">
        <w:t>using</w:t>
      </w:r>
      <w:r w:rsidR="00341FCE">
        <w:t xml:space="preserve"> fallback</w:t>
      </w:r>
      <w:r w:rsidR="00A66293" w:rsidRPr="00A66293">
        <w:t xml:space="preserve">, the legacy gNB will not be able to provide such an indication to AMF. </w:t>
      </w:r>
      <w:r w:rsidR="000019B4">
        <w:t>Consequently,</w:t>
      </w:r>
      <w:r w:rsidR="001C586A">
        <w:t xml:space="preserve"> t</w:t>
      </w:r>
      <w:r w:rsidR="00E126B5">
        <w:t xml:space="preserve">he CN </w:t>
      </w:r>
      <w:r w:rsidR="001C586A">
        <w:t>would handle</w:t>
      </w:r>
      <w:r w:rsidR="00E126B5">
        <w:t xml:space="preserve"> </w:t>
      </w:r>
      <w:r w:rsidR="001C586A">
        <w:t xml:space="preserve">the RedCap </w:t>
      </w:r>
      <w:r w:rsidR="00E126B5">
        <w:t xml:space="preserve">UE </w:t>
      </w:r>
      <w:r w:rsidR="001C586A">
        <w:t xml:space="preserve">as </w:t>
      </w:r>
      <w:r w:rsidR="00E126B5">
        <w:t>a</w:t>
      </w:r>
      <w:r w:rsidR="001C586A">
        <w:t xml:space="preserve"> non-RedCap, </w:t>
      </w:r>
      <w:r w:rsidR="00DA3263">
        <w:t xml:space="preserve">causing issues </w:t>
      </w:r>
      <w:r w:rsidR="009268F3">
        <w:t xml:space="preserve">on procedures such as charging or service restriction. </w:t>
      </w:r>
      <w:r w:rsidR="00960B21">
        <w:t>Therefore, the UE should inform the core network that it is a RedCap UE. This indication can be via NAS signaling with AMF.</w:t>
      </w:r>
    </w:p>
    <w:p w14:paraId="3BBFCEAD" w14:textId="27D2305D" w:rsidR="0096498F" w:rsidRDefault="0096498F" w:rsidP="0096498F">
      <w:pPr>
        <w:spacing w:before="180"/>
      </w:pPr>
      <w:r>
        <w:t>In addition to initial access, another procedure in which such a signaling may be necessary is handover. For example, a RedCap UE may have to roam from a RedCap-supporting cell to a legacy cell, as described in the previous section.</w:t>
      </w:r>
      <w:r w:rsidRPr="00044C1C">
        <w:t xml:space="preserve"> </w:t>
      </w:r>
      <w:r>
        <w:t xml:space="preserve">In this case, </w:t>
      </w:r>
      <w:r w:rsidR="001946EB">
        <w:t>although the core network knows the UE is a RedCap UE</w:t>
      </w:r>
      <w:r>
        <w:t xml:space="preserve">, </w:t>
      </w:r>
      <w:r w:rsidR="001C341F">
        <w:t xml:space="preserve">we think </w:t>
      </w:r>
      <w:r w:rsidR="003001AE">
        <w:t xml:space="preserve">it may be </w:t>
      </w:r>
      <w:r w:rsidR="005D5640">
        <w:t>useful</w:t>
      </w:r>
      <w:r w:rsidR="003001AE">
        <w:t xml:space="preserve"> for UE to inform the </w:t>
      </w:r>
      <w:r>
        <w:t xml:space="preserve">CN that </w:t>
      </w:r>
      <w:r w:rsidR="003001AE">
        <w:t>it is access</w:t>
      </w:r>
      <w:r w:rsidR="000E0BFB">
        <w:t xml:space="preserve">ing through a legacy </w:t>
      </w:r>
      <w:r w:rsidR="005D5640">
        <w:t>cell</w:t>
      </w:r>
      <w:r>
        <w:t>.</w:t>
      </w:r>
      <w:r w:rsidR="005D5640">
        <w:t xml:space="preserve"> That information can help core network to apply different policies, if </w:t>
      </w:r>
      <w:r w:rsidR="00960B21">
        <w:t>necessary</w:t>
      </w:r>
      <w:r w:rsidR="004D1964">
        <w:t xml:space="preserve">. </w:t>
      </w:r>
    </w:p>
    <w:p w14:paraId="295C59D8" w14:textId="3FAF719A" w:rsidR="00D70D2A" w:rsidRPr="009427A2" w:rsidRDefault="000C54FF" w:rsidP="009427A2">
      <w:pPr>
        <w:tabs>
          <w:tab w:val="left" w:pos="1440"/>
        </w:tabs>
        <w:spacing w:before="180"/>
        <w:ind w:left="1440" w:hanging="1440"/>
        <w:rPr>
          <w:b/>
          <w:bCs w:val="0"/>
        </w:rPr>
      </w:pPr>
      <w:r w:rsidRPr="009427A2">
        <w:rPr>
          <w:b/>
          <w:bCs w:val="0"/>
        </w:rPr>
        <w:t xml:space="preserve">Observation 4. </w:t>
      </w:r>
      <w:r w:rsidR="00637D23">
        <w:rPr>
          <w:b/>
          <w:bCs w:val="0"/>
        </w:rPr>
        <w:t xml:space="preserve">In the current framework, network </w:t>
      </w:r>
      <w:r w:rsidR="00133C8E">
        <w:rPr>
          <w:b/>
          <w:bCs w:val="0"/>
        </w:rPr>
        <w:t xml:space="preserve">is not able to identify a RedCap UE accessing </w:t>
      </w:r>
      <w:r w:rsidR="00F40CA1">
        <w:rPr>
          <w:b/>
          <w:bCs w:val="0"/>
        </w:rPr>
        <w:t xml:space="preserve">network </w:t>
      </w:r>
      <w:r w:rsidR="00133C8E">
        <w:rPr>
          <w:b/>
          <w:bCs w:val="0"/>
        </w:rPr>
        <w:t xml:space="preserve">through a legacy cell using fallback. </w:t>
      </w:r>
      <w:r w:rsidR="00E560BE">
        <w:rPr>
          <w:b/>
          <w:bCs w:val="0"/>
        </w:rPr>
        <w:t xml:space="preserve">That can cause issues for </w:t>
      </w:r>
      <w:r w:rsidR="00CC440B">
        <w:rPr>
          <w:b/>
          <w:bCs w:val="0"/>
        </w:rPr>
        <w:t xml:space="preserve">both </w:t>
      </w:r>
      <w:r w:rsidR="00E560BE">
        <w:rPr>
          <w:b/>
          <w:bCs w:val="0"/>
        </w:rPr>
        <w:t xml:space="preserve">core network </w:t>
      </w:r>
      <w:r w:rsidR="00CC440B">
        <w:rPr>
          <w:b/>
          <w:bCs w:val="0"/>
        </w:rPr>
        <w:t xml:space="preserve">and RAN on </w:t>
      </w:r>
      <w:r w:rsidR="00E560BE">
        <w:rPr>
          <w:b/>
          <w:bCs w:val="0"/>
        </w:rPr>
        <w:t>procedures such as charging or service restriction.</w:t>
      </w:r>
    </w:p>
    <w:p w14:paraId="3013F9E2" w14:textId="77777777" w:rsidR="00DE66AB" w:rsidRDefault="00D12DEC" w:rsidP="00D12DEC">
      <w:pPr>
        <w:tabs>
          <w:tab w:val="left" w:pos="1440"/>
        </w:tabs>
        <w:ind w:left="1440" w:hanging="1440"/>
        <w:rPr>
          <w:rFonts w:eastAsiaTheme="minorEastAsia"/>
          <w:b/>
          <w:bCs w:val="0"/>
        </w:rPr>
      </w:pPr>
      <w:r w:rsidRPr="008E490C">
        <w:rPr>
          <w:rFonts w:eastAsiaTheme="minorEastAsia"/>
          <w:b/>
          <w:bCs w:val="0"/>
        </w:rPr>
        <w:t xml:space="preserve">Proposal </w:t>
      </w:r>
      <w:r w:rsidR="00EA4C8A">
        <w:rPr>
          <w:rFonts w:eastAsiaTheme="minorEastAsia"/>
          <w:b/>
          <w:bCs w:val="0"/>
        </w:rPr>
        <w:t>7</w:t>
      </w:r>
      <w:r w:rsidRPr="008E490C">
        <w:rPr>
          <w:rFonts w:eastAsiaTheme="minorEastAsia"/>
          <w:b/>
          <w:bCs w:val="0"/>
        </w:rPr>
        <w:t>.</w:t>
      </w:r>
      <w:r>
        <w:rPr>
          <w:rFonts w:eastAsiaTheme="minorEastAsia"/>
        </w:rPr>
        <w:t xml:space="preserve"> </w:t>
      </w:r>
      <w:r>
        <w:rPr>
          <w:rFonts w:eastAsiaTheme="minorEastAsia"/>
        </w:rPr>
        <w:tab/>
      </w:r>
      <w:r w:rsidR="002A4262">
        <w:rPr>
          <w:rFonts w:eastAsiaTheme="minorEastAsia"/>
          <w:b/>
          <w:bCs w:val="0"/>
        </w:rPr>
        <w:t xml:space="preserve">A </w:t>
      </w:r>
      <w:r w:rsidR="00FE74D0">
        <w:rPr>
          <w:rFonts w:eastAsiaTheme="minorEastAsia"/>
          <w:b/>
          <w:bCs w:val="0"/>
        </w:rPr>
        <w:t xml:space="preserve">RedCap </w:t>
      </w:r>
      <w:r w:rsidR="002A4262">
        <w:rPr>
          <w:rFonts w:eastAsiaTheme="minorEastAsia"/>
          <w:b/>
          <w:bCs w:val="0"/>
        </w:rPr>
        <w:t xml:space="preserve">UE should inform core network </w:t>
      </w:r>
      <w:r w:rsidR="00FE74D0">
        <w:rPr>
          <w:rFonts w:eastAsiaTheme="minorEastAsia"/>
          <w:b/>
          <w:bCs w:val="0"/>
        </w:rPr>
        <w:t xml:space="preserve">when it is </w:t>
      </w:r>
      <w:r w:rsidR="002A4262">
        <w:rPr>
          <w:rFonts w:eastAsiaTheme="minorEastAsia"/>
          <w:b/>
          <w:bCs w:val="0"/>
        </w:rPr>
        <w:t>access</w:t>
      </w:r>
      <w:r w:rsidR="003863F1">
        <w:rPr>
          <w:rFonts w:eastAsiaTheme="minorEastAsia"/>
          <w:b/>
          <w:bCs w:val="0"/>
        </w:rPr>
        <w:t>ing</w:t>
      </w:r>
      <w:r w:rsidR="002A4262">
        <w:rPr>
          <w:rFonts w:eastAsiaTheme="minorEastAsia"/>
          <w:b/>
          <w:bCs w:val="0"/>
        </w:rPr>
        <w:t xml:space="preserve"> network through a legacy cell</w:t>
      </w:r>
      <w:r w:rsidR="00492414">
        <w:rPr>
          <w:rFonts w:eastAsiaTheme="minorEastAsia"/>
          <w:b/>
          <w:bCs w:val="0"/>
        </w:rPr>
        <w:t>, during either initial access or handover</w:t>
      </w:r>
      <w:r w:rsidR="00AC3C9D">
        <w:rPr>
          <w:rFonts w:eastAsiaTheme="minorEastAsia"/>
          <w:b/>
          <w:bCs w:val="0"/>
        </w:rPr>
        <w:t xml:space="preserve">. </w:t>
      </w:r>
    </w:p>
    <w:p w14:paraId="30F5D42C" w14:textId="71EECA38" w:rsidR="00D12DEC" w:rsidRDefault="00DE66AB" w:rsidP="009427A2">
      <w:pPr>
        <w:tabs>
          <w:tab w:val="left" w:pos="0"/>
        </w:tabs>
        <w:rPr>
          <w:rFonts w:eastAsiaTheme="minorEastAsia"/>
          <w:b/>
          <w:bCs w:val="0"/>
        </w:rPr>
      </w:pPr>
      <w:r>
        <w:rPr>
          <w:rFonts w:eastAsiaTheme="minorEastAsia"/>
        </w:rPr>
        <w:t xml:space="preserve">The above proposal clearly has impact on SA2/CT1. RAN2 should send a LS to </w:t>
      </w:r>
      <w:r w:rsidR="00B21619">
        <w:rPr>
          <w:rFonts w:eastAsiaTheme="minorEastAsia"/>
        </w:rPr>
        <w:t xml:space="preserve">ask </w:t>
      </w:r>
      <w:r>
        <w:rPr>
          <w:rFonts w:eastAsiaTheme="minorEastAsia"/>
        </w:rPr>
        <w:t>them</w:t>
      </w:r>
      <w:r w:rsidR="00A63A34">
        <w:rPr>
          <w:rFonts w:eastAsiaTheme="minorEastAsia"/>
        </w:rPr>
        <w:t xml:space="preserve"> to work out the necessary changes in core network. </w:t>
      </w:r>
      <w:r w:rsidR="00C62092">
        <w:rPr>
          <w:rFonts w:eastAsiaTheme="minorEastAsia"/>
          <w:b/>
          <w:bCs w:val="0"/>
        </w:rPr>
        <w:t xml:space="preserve"> </w:t>
      </w:r>
    </w:p>
    <w:p w14:paraId="70D0B922" w14:textId="02FC3E2F" w:rsidR="00B21619" w:rsidRPr="00DE3729" w:rsidRDefault="00B21619" w:rsidP="00D12DEC">
      <w:pPr>
        <w:tabs>
          <w:tab w:val="left" w:pos="1440"/>
        </w:tabs>
        <w:ind w:left="1440" w:hanging="1440"/>
        <w:rPr>
          <w:rFonts w:eastAsiaTheme="minorEastAsia"/>
        </w:rPr>
      </w:pPr>
      <w:r>
        <w:rPr>
          <w:rFonts w:eastAsiaTheme="minorEastAsia"/>
          <w:b/>
          <w:bCs w:val="0"/>
        </w:rPr>
        <w:t xml:space="preserve">Proposal 8. </w:t>
      </w:r>
      <w:r>
        <w:rPr>
          <w:rFonts w:eastAsiaTheme="minorEastAsia"/>
          <w:b/>
          <w:bCs w:val="0"/>
        </w:rPr>
        <w:tab/>
        <w:t>Send a LS to SA2/CT1 to</w:t>
      </w:r>
      <w:r w:rsidR="00AD759D">
        <w:rPr>
          <w:rFonts w:eastAsiaTheme="minorEastAsia"/>
          <w:b/>
          <w:bCs w:val="0"/>
        </w:rPr>
        <w:t xml:space="preserve"> ask them to work on the necessary </w:t>
      </w:r>
      <w:r w:rsidR="00CC3C8C">
        <w:rPr>
          <w:rFonts w:eastAsiaTheme="minorEastAsia"/>
          <w:b/>
          <w:bCs w:val="0"/>
        </w:rPr>
        <w:t xml:space="preserve">signaling and </w:t>
      </w:r>
      <w:r w:rsidR="00AD759D">
        <w:rPr>
          <w:rFonts w:eastAsiaTheme="minorEastAsia"/>
          <w:b/>
          <w:bCs w:val="0"/>
        </w:rPr>
        <w:t>changes in core network.</w:t>
      </w:r>
      <w:r>
        <w:rPr>
          <w:rFonts w:eastAsiaTheme="minorEastAsia"/>
          <w:b/>
          <w:bCs w:val="0"/>
        </w:rPr>
        <w:t xml:space="preserve"> </w:t>
      </w:r>
    </w:p>
    <w:p w14:paraId="1C136B35" w14:textId="77777777" w:rsidR="00C20C06" w:rsidRPr="00341812" w:rsidRDefault="00501D61" w:rsidP="00C20C06">
      <w:pPr>
        <w:pStyle w:val="Heading1"/>
        <w:rPr>
          <w:lang w:val="en-US"/>
        </w:rPr>
      </w:pPr>
      <w:r w:rsidRPr="00341812">
        <w:rPr>
          <w:lang w:val="en-US"/>
        </w:rPr>
        <w:t>Conclusion</w:t>
      </w:r>
    </w:p>
    <w:p w14:paraId="638E4AD4" w14:textId="63A462AD" w:rsidR="00942D9D" w:rsidRDefault="009B761C" w:rsidP="00C737DB">
      <w:pPr>
        <w:snapToGrid w:val="0"/>
        <w:jc w:val="both"/>
        <w:rPr>
          <w:lang w:eastAsia="ja-JP"/>
        </w:rPr>
      </w:pPr>
      <w:r>
        <w:rPr>
          <w:lang w:eastAsia="ja-JP"/>
        </w:rPr>
        <w:t>Based on the above analysis, w</w:t>
      </w:r>
      <w:r w:rsidR="00942D9D" w:rsidRPr="00341812">
        <w:rPr>
          <w:lang w:eastAsia="ja-JP"/>
        </w:rPr>
        <w:t>e’d recommend RAN2 to discuss and adopt the following proposals:</w:t>
      </w:r>
    </w:p>
    <w:p w14:paraId="4097F1BE" w14:textId="1BF104FF" w:rsidR="003E6C26" w:rsidRPr="00D5352F" w:rsidRDefault="003E6C26" w:rsidP="003168A7">
      <w:pPr>
        <w:tabs>
          <w:tab w:val="left" w:pos="1440"/>
        </w:tabs>
        <w:spacing w:after="60"/>
        <w:ind w:left="1440" w:hanging="1440"/>
        <w:rPr>
          <w:b/>
          <w:bCs w:val="0"/>
        </w:rPr>
      </w:pPr>
      <w:r w:rsidRPr="00D5352F">
        <w:rPr>
          <w:b/>
          <w:bCs w:val="0"/>
        </w:rPr>
        <w:t xml:space="preserve">Observation 1. </w:t>
      </w:r>
      <w:r w:rsidR="00C8437A" w:rsidRPr="00D5352F">
        <w:rPr>
          <w:b/>
          <w:bCs w:val="0"/>
        </w:rPr>
        <w:t xml:space="preserve">RedCap may not be </w:t>
      </w:r>
      <w:r w:rsidR="00C8437A">
        <w:rPr>
          <w:b/>
          <w:bCs w:val="0"/>
        </w:rPr>
        <w:t xml:space="preserve">widely </w:t>
      </w:r>
      <w:r w:rsidR="00C8437A" w:rsidRPr="00D5352F">
        <w:rPr>
          <w:b/>
          <w:bCs w:val="0"/>
        </w:rPr>
        <w:t xml:space="preserve">supported across operator’s network in its initial deployment. </w:t>
      </w:r>
      <w:r w:rsidR="00C8437A">
        <w:rPr>
          <w:b/>
          <w:bCs w:val="0"/>
        </w:rPr>
        <w:t>That could</w:t>
      </w:r>
      <w:r w:rsidR="00C8437A" w:rsidRPr="00B84D57">
        <w:rPr>
          <w:b/>
          <w:bCs w:val="0"/>
        </w:rPr>
        <w:t xml:space="preserve"> be a big hurdle for the adoption of new RedCap devices</w:t>
      </w:r>
      <w:r w:rsidR="00C8437A">
        <w:rPr>
          <w:b/>
          <w:bCs w:val="0"/>
        </w:rPr>
        <w:t>.</w:t>
      </w:r>
    </w:p>
    <w:p w14:paraId="4BD2D2C5" w14:textId="2A552CD6" w:rsidR="003E6C26" w:rsidRPr="00276E1D" w:rsidRDefault="003E6C26" w:rsidP="003168A7">
      <w:pPr>
        <w:tabs>
          <w:tab w:val="left" w:pos="1440"/>
        </w:tabs>
        <w:spacing w:after="60"/>
        <w:ind w:left="1440" w:hanging="1440"/>
        <w:rPr>
          <w:b/>
          <w:bCs w:val="0"/>
        </w:rPr>
      </w:pPr>
      <w:r w:rsidRPr="00276E1D">
        <w:rPr>
          <w:b/>
          <w:bCs w:val="0"/>
        </w:rPr>
        <w:t xml:space="preserve">Observation 2. </w:t>
      </w:r>
      <w:r w:rsidR="00C8437A" w:rsidRPr="00276E1D">
        <w:rPr>
          <w:b/>
          <w:bCs w:val="0"/>
        </w:rPr>
        <w:t xml:space="preserve">Some spec-compliant RedCap UEs can operate in legacy </w:t>
      </w:r>
      <w:r w:rsidR="00C8437A">
        <w:rPr>
          <w:b/>
          <w:bCs w:val="0"/>
        </w:rPr>
        <w:t>cells</w:t>
      </w:r>
      <w:r w:rsidR="00C8437A" w:rsidRPr="00276E1D">
        <w:rPr>
          <w:b/>
          <w:bCs w:val="0"/>
        </w:rPr>
        <w:t xml:space="preserve"> in certain bands</w:t>
      </w:r>
      <w:r w:rsidR="00C8437A">
        <w:rPr>
          <w:b/>
          <w:bCs w:val="0"/>
        </w:rPr>
        <w:t xml:space="preserve"> (e.g. under 2.496 GHz)</w:t>
      </w:r>
      <w:r w:rsidR="00C8437A" w:rsidRPr="00276E1D">
        <w:rPr>
          <w:b/>
          <w:bCs w:val="0"/>
        </w:rPr>
        <w:t xml:space="preserve"> </w:t>
      </w:r>
      <w:r w:rsidR="00C8437A">
        <w:rPr>
          <w:b/>
          <w:bCs w:val="0"/>
        </w:rPr>
        <w:t xml:space="preserve">in the </w:t>
      </w:r>
      <w:r w:rsidR="00C8437A" w:rsidRPr="00276E1D">
        <w:rPr>
          <w:b/>
          <w:bCs w:val="0"/>
        </w:rPr>
        <w:t xml:space="preserve">same </w:t>
      </w:r>
      <w:r w:rsidR="00C8437A">
        <w:rPr>
          <w:b/>
          <w:bCs w:val="0"/>
        </w:rPr>
        <w:t>way</w:t>
      </w:r>
      <w:r w:rsidR="00C8437A" w:rsidRPr="00276E1D">
        <w:rPr>
          <w:b/>
          <w:bCs w:val="0"/>
        </w:rPr>
        <w:t xml:space="preserve"> as non-RedCap UEs.</w:t>
      </w:r>
    </w:p>
    <w:p w14:paraId="218D310A" w14:textId="4E737C89" w:rsidR="003E6C26" w:rsidRPr="00717A64" w:rsidRDefault="003E6C26" w:rsidP="00E7034B">
      <w:pPr>
        <w:tabs>
          <w:tab w:val="left" w:pos="1440"/>
        </w:tabs>
        <w:ind w:left="1440" w:hanging="1440"/>
        <w:rPr>
          <w:b/>
          <w:bCs w:val="0"/>
        </w:rPr>
      </w:pPr>
      <w:r w:rsidRPr="00717A64">
        <w:rPr>
          <w:b/>
          <w:bCs w:val="0"/>
        </w:rPr>
        <w:t xml:space="preserve">Observation 3. </w:t>
      </w:r>
      <w:r w:rsidR="00E7034B">
        <w:rPr>
          <w:b/>
          <w:bCs w:val="0"/>
        </w:rPr>
        <w:t xml:space="preserve">Allowing a </w:t>
      </w:r>
      <w:r w:rsidR="00E7034B" w:rsidRPr="00717A64">
        <w:rPr>
          <w:b/>
          <w:bCs w:val="0"/>
        </w:rPr>
        <w:t xml:space="preserve">RedCap UE </w:t>
      </w:r>
      <w:r w:rsidR="00E7034B">
        <w:rPr>
          <w:b/>
          <w:bCs w:val="0"/>
        </w:rPr>
        <w:t xml:space="preserve">to access legacy cells in which it is </w:t>
      </w:r>
      <w:r w:rsidR="00E7034B" w:rsidRPr="0001340F">
        <w:rPr>
          <w:b/>
          <w:bCs w:val="0"/>
        </w:rPr>
        <w:t xml:space="preserve">capable of </w:t>
      </w:r>
      <w:r w:rsidR="00E7034B">
        <w:rPr>
          <w:b/>
          <w:bCs w:val="0"/>
        </w:rPr>
        <w:t>operating as a non-RedCap UE in a spec-compliant manner c</w:t>
      </w:r>
      <w:r w:rsidR="00E7034B" w:rsidRPr="00717A64">
        <w:rPr>
          <w:b/>
          <w:bCs w:val="0"/>
        </w:rPr>
        <w:t xml:space="preserve">an help improve </w:t>
      </w:r>
      <w:r w:rsidR="00E7034B">
        <w:rPr>
          <w:b/>
          <w:bCs w:val="0"/>
        </w:rPr>
        <w:t>its</w:t>
      </w:r>
      <w:r w:rsidR="00E7034B" w:rsidRPr="00717A64">
        <w:rPr>
          <w:b/>
          <w:bCs w:val="0"/>
        </w:rPr>
        <w:t xml:space="preserve"> service coverage.</w:t>
      </w:r>
    </w:p>
    <w:p w14:paraId="3015F55C" w14:textId="108EFD82" w:rsidR="003E6C26" w:rsidRDefault="003E6C26" w:rsidP="003168A7">
      <w:pPr>
        <w:spacing w:after="60"/>
        <w:ind w:left="1440" w:hanging="1440"/>
      </w:pPr>
      <w:r w:rsidRPr="00A5679C">
        <w:rPr>
          <w:b/>
          <w:bCs w:val="0"/>
        </w:rPr>
        <w:t>Proposal 1.</w:t>
      </w:r>
      <w:r>
        <w:t xml:space="preserve">  </w:t>
      </w:r>
      <w:r>
        <w:tab/>
      </w:r>
      <w:r w:rsidR="00206A89" w:rsidRPr="00213291">
        <w:rPr>
          <w:b/>
          <w:bCs w:val="0"/>
        </w:rPr>
        <w:t xml:space="preserve">Support </w:t>
      </w:r>
      <w:r w:rsidR="00206A89">
        <w:rPr>
          <w:b/>
          <w:bCs w:val="0"/>
        </w:rPr>
        <w:t>fallback</w:t>
      </w:r>
      <w:r w:rsidR="00206A89" w:rsidRPr="00213291">
        <w:rPr>
          <w:b/>
          <w:bCs w:val="0"/>
        </w:rPr>
        <w:t xml:space="preserve"> operation for RedCap, with which a RedCap UE is allowed to camp</w:t>
      </w:r>
      <w:r w:rsidR="00206A89">
        <w:rPr>
          <w:b/>
          <w:bCs w:val="0"/>
        </w:rPr>
        <w:t xml:space="preserve"> on</w:t>
      </w:r>
      <w:r w:rsidR="00206A89" w:rsidRPr="00213291">
        <w:rPr>
          <w:b/>
          <w:bCs w:val="0"/>
        </w:rPr>
        <w:t xml:space="preserve"> or access a legacy cell as a spec-compliant non-RedCap UE when no RedCap-supporting cells are available.</w:t>
      </w:r>
    </w:p>
    <w:p w14:paraId="20AA44BF" w14:textId="2F304386" w:rsidR="003E6C26" w:rsidRDefault="003E6C26" w:rsidP="003168A7">
      <w:pPr>
        <w:spacing w:after="60"/>
        <w:ind w:left="1440" w:hanging="1440"/>
        <w:rPr>
          <w:b/>
          <w:bCs w:val="0"/>
        </w:rPr>
      </w:pPr>
      <w:r w:rsidRPr="0090204A">
        <w:rPr>
          <w:b/>
          <w:bCs w:val="0"/>
        </w:rPr>
        <w:t xml:space="preserve">Proposal 2. </w:t>
      </w:r>
      <w:r w:rsidRPr="0090204A">
        <w:rPr>
          <w:b/>
          <w:bCs w:val="0"/>
        </w:rPr>
        <w:tab/>
      </w:r>
      <w:r w:rsidR="00206A89" w:rsidRPr="0090204A">
        <w:rPr>
          <w:b/>
          <w:bCs w:val="0"/>
        </w:rPr>
        <w:t xml:space="preserve">RedCap UEs </w:t>
      </w:r>
      <w:r w:rsidR="00206A89">
        <w:rPr>
          <w:b/>
          <w:bCs w:val="0"/>
        </w:rPr>
        <w:t xml:space="preserve">capable of fallback operation </w:t>
      </w:r>
      <w:r w:rsidR="00206A89" w:rsidRPr="0090204A">
        <w:rPr>
          <w:b/>
          <w:bCs w:val="0"/>
        </w:rPr>
        <w:t>always prioritize RedCap-supporting cells over legacy cells</w:t>
      </w:r>
      <w:r w:rsidR="00206A89">
        <w:rPr>
          <w:b/>
          <w:bCs w:val="0"/>
        </w:rPr>
        <w:t xml:space="preserve"> in </w:t>
      </w:r>
      <w:r w:rsidR="00206A89" w:rsidRPr="0090204A">
        <w:rPr>
          <w:b/>
          <w:bCs w:val="0"/>
        </w:rPr>
        <w:t>cell re-/selection</w:t>
      </w:r>
      <w:r w:rsidR="00206A89">
        <w:rPr>
          <w:b/>
          <w:bCs w:val="0"/>
        </w:rPr>
        <w:t xml:space="preserve">, irrespective of </w:t>
      </w:r>
      <w:r w:rsidR="00206A89" w:rsidRPr="0090204A">
        <w:rPr>
          <w:b/>
          <w:bCs w:val="0"/>
        </w:rPr>
        <w:t>cell barring</w:t>
      </w:r>
      <w:r w:rsidR="00206A89">
        <w:rPr>
          <w:b/>
          <w:bCs w:val="0"/>
        </w:rPr>
        <w:t xml:space="preserve"> status</w:t>
      </w:r>
      <w:r w:rsidR="00206A89" w:rsidRPr="0090204A">
        <w:rPr>
          <w:b/>
          <w:bCs w:val="0"/>
        </w:rPr>
        <w:t>.</w:t>
      </w:r>
    </w:p>
    <w:p w14:paraId="34A436E7" w14:textId="384338D8" w:rsidR="003E6C26" w:rsidRPr="0090204A" w:rsidRDefault="003E6C26" w:rsidP="003168A7">
      <w:pPr>
        <w:spacing w:after="60"/>
        <w:ind w:left="1440" w:hanging="1440"/>
        <w:rPr>
          <w:b/>
          <w:bCs w:val="0"/>
        </w:rPr>
      </w:pPr>
      <w:r w:rsidRPr="002F197F">
        <w:rPr>
          <w:b/>
          <w:bCs w:val="0"/>
        </w:rPr>
        <w:t xml:space="preserve">Proposal 3. </w:t>
      </w:r>
      <w:r w:rsidRPr="002F197F">
        <w:rPr>
          <w:b/>
          <w:bCs w:val="0"/>
        </w:rPr>
        <w:tab/>
      </w:r>
      <w:r w:rsidR="00206A89">
        <w:rPr>
          <w:b/>
          <w:bCs w:val="0"/>
        </w:rPr>
        <w:t>W</w:t>
      </w:r>
      <w:r w:rsidR="00206A89" w:rsidRPr="002F197F">
        <w:rPr>
          <w:b/>
          <w:bCs w:val="0"/>
        </w:rPr>
        <w:t xml:space="preserve">hen a cell </w:t>
      </w:r>
      <w:r w:rsidR="00206A89">
        <w:rPr>
          <w:b/>
          <w:bCs w:val="0"/>
        </w:rPr>
        <w:t>indicates</w:t>
      </w:r>
      <w:r w:rsidR="00206A89" w:rsidRPr="002F197F">
        <w:rPr>
          <w:b/>
          <w:bCs w:val="0"/>
        </w:rPr>
        <w:t xml:space="preserve"> RedCap UEs</w:t>
      </w:r>
      <w:r w:rsidR="00206A89">
        <w:rPr>
          <w:b/>
          <w:bCs w:val="0"/>
        </w:rPr>
        <w:t xml:space="preserve"> being barred</w:t>
      </w:r>
      <w:r w:rsidR="00206A89" w:rsidRPr="002F197F">
        <w:rPr>
          <w:b/>
          <w:bCs w:val="0"/>
        </w:rPr>
        <w:t xml:space="preserve">, </w:t>
      </w:r>
      <w:r w:rsidR="00206A89">
        <w:rPr>
          <w:b/>
          <w:bCs w:val="0"/>
        </w:rPr>
        <w:t xml:space="preserve">a </w:t>
      </w:r>
      <w:r w:rsidR="00206A89" w:rsidRPr="00FD46C2">
        <w:rPr>
          <w:b/>
          <w:bCs w:val="0"/>
        </w:rPr>
        <w:t xml:space="preserve">RedCap UE capable of fallback operation </w:t>
      </w:r>
      <w:r w:rsidR="00206A89" w:rsidRPr="002F197F">
        <w:rPr>
          <w:b/>
          <w:bCs w:val="0"/>
        </w:rPr>
        <w:t xml:space="preserve">should not attempt access to this cell as a non-RedCap UE. </w:t>
      </w:r>
      <w:r w:rsidR="00206A89" w:rsidRPr="0090204A">
        <w:rPr>
          <w:b/>
          <w:bCs w:val="0"/>
        </w:rPr>
        <w:t xml:space="preserve">  </w:t>
      </w:r>
    </w:p>
    <w:p w14:paraId="67F39891" w14:textId="0593F05F" w:rsidR="00E5453E" w:rsidRPr="003E558D" w:rsidRDefault="003E6C26" w:rsidP="00E5453E">
      <w:pPr>
        <w:tabs>
          <w:tab w:val="left" w:pos="1440"/>
        </w:tabs>
        <w:ind w:left="1440" w:hanging="1440"/>
        <w:rPr>
          <w:b/>
          <w:bCs w:val="0"/>
        </w:rPr>
      </w:pPr>
      <w:r w:rsidRPr="003E558D">
        <w:rPr>
          <w:b/>
          <w:bCs w:val="0"/>
        </w:rPr>
        <w:t xml:space="preserve">Proposal </w:t>
      </w:r>
      <w:r w:rsidR="009C2A3C">
        <w:rPr>
          <w:b/>
          <w:bCs w:val="0"/>
        </w:rPr>
        <w:t>4</w:t>
      </w:r>
      <w:r w:rsidRPr="003E558D">
        <w:rPr>
          <w:b/>
          <w:bCs w:val="0"/>
        </w:rPr>
        <w:t xml:space="preserve">. </w:t>
      </w:r>
      <w:r>
        <w:rPr>
          <w:b/>
          <w:bCs w:val="0"/>
        </w:rPr>
        <w:tab/>
      </w:r>
      <w:r w:rsidR="00E5453E" w:rsidRPr="003E558D">
        <w:rPr>
          <w:b/>
          <w:bCs w:val="0"/>
        </w:rPr>
        <w:t xml:space="preserve">To support </w:t>
      </w:r>
      <w:r w:rsidR="00E5453E">
        <w:rPr>
          <w:b/>
          <w:bCs w:val="0"/>
        </w:rPr>
        <w:t>fallback operation</w:t>
      </w:r>
      <w:r w:rsidR="00E5453E" w:rsidRPr="003E558D">
        <w:rPr>
          <w:b/>
          <w:bCs w:val="0"/>
        </w:rPr>
        <w:t xml:space="preserve"> with the existing UE signaling framework, apply the following capability reporting rules for </w:t>
      </w:r>
      <w:r w:rsidR="00E5453E" w:rsidRPr="00070B44">
        <w:rPr>
          <w:b/>
          <w:bCs w:val="0"/>
          <w:u w:val="single"/>
        </w:rPr>
        <w:t>all</w:t>
      </w:r>
      <w:r w:rsidR="00E5453E" w:rsidRPr="003E558D">
        <w:rPr>
          <w:b/>
          <w:bCs w:val="0"/>
        </w:rPr>
        <w:t xml:space="preserve"> RedCap UEs:</w:t>
      </w:r>
    </w:p>
    <w:p w14:paraId="0730EACA" w14:textId="77777777" w:rsidR="00E5453E" w:rsidRPr="00C95EB7" w:rsidRDefault="00E5453E" w:rsidP="00E5453E">
      <w:pPr>
        <w:pStyle w:val="ListParagraph"/>
        <w:numPr>
          <w:ilvl w:val="0"/>
          <w:numId w:val="36"/>
        </w:numPr>
        <w:spacing w:before="60"/>
        <w:ind w:leftChars="0" w:left="1800" w:hanging="274"/>
        <w:rPr>
          <w:b/>
          <w:bCs w:val="0"/>
        </w:rPr>
      </w:pPr>
      <w:r w:rsidRPr="00C95EB7">
        <w:rPr>
          <w:b/>
          <w:bCs w:val="0"/>
        </w:rPr>
        <w:t>Capabilities that are mandatory in legacy but optional for RedCap should be reported in the NCE of UE radio capability container;</w:t>
      </w:r>
    </w:p>
    <w:p w14:paraId="7AAC0160" w14:textId="22515AB9" w:rsidR="00E5453E" w:rsidRPr="00C95EB7" w:rsidRDefault="00E5453E" w:rsidP="00CC3C94">
      <w:pPr>
        <w:pStyle w:val="ListParagraph"/>
        <w:numPr>
          <w:ilvl w:val="0"/>
          <w:numId w:val="36"/>
        </w:numPr>
        <w:spacing w:before="60" w:after="60"/>
        <w:ind w:leftChars="0" w:left="1800" w:hanging="274"/>
        <w:rPr>
          <w:b/>
          <w:bCs w:val="0"/>
        </w:rPr>
      </w:pPr>
      <w:r w:rsidRPr="00C95EB7">
        <w:rPr>
          <w:b/>
          <w:bCs w:val="0"/>
        </w:rPr>
        <w:t xml:space="preserve">Capabilities that are optional for both legacy and RedCap should be reported </w:t>
      </w:r>
      <w:r w:rsidR="00B22D92">
        <w:rPr>
          <w:b/>
          <w:bCs w:val="0"/>
        </w:rPr>
        <w:t xml:space="preserve">separately </w:t>
      </w:r>
      <w:r w:rsidRPr="00C95EB7">
        <w:rPr>
          <w:b/>
          <w:bCs w:val="0"/>
        </w:rPr>
        <w:t>in</w:t>
      </w:r>
      <w:r w:rsidR="00CB1009">
        <w:rPr>
          <w:b/>
          <w:bCs w:val="0"/>
        </w:rPr>
        <w:t xml:space="preserve"> both</w:t>
      </w:r>
      <w:r w:rsidRPr="00C95EB7">
        <w:rPr>
          <w:b/>
          <w:bCs w:val="0"/>
        </w:rPr>
        <w:t xml:space="preserve"> the </w:t>
      </w:r>
      <w:r w:rsidR="00CB1009">
        <w:rPr>
          <w:b/>
          <w:bCs w:val="0"/>
        </w:rPr>
        <w:t xml:space="preserve">legacy and the </w:t>
      </w:r>
      <w:r w:rsidRPr="00C95EB7">
        <w:rPr>
          <w:b/>
          <w:bCs w:val="0"/>
        </w:rPr>
        <w:t xml:space="preserve">NCE </w:t>
      </w:r>
      <w:r w:rsidR="00CB1009">
        <w:rPr>
          <w:b/>
          <w:bCs w:val="0"/>
        </w:rPr>
        <w:t xml:space="preserve">part </w:t>
      </w:r>
      <w:r w:rsidRPr="00C95EB7">
        <w:rPr>
          <w:b/>
          <w:bCs w:val="0"/>
        </w:rPr>
        <w:t xml:space="preserve">of UE radio capability container. </w:t>
      </w:r>
    </w:p>
    <w:p w14:paraId="7A9C8425" w14:textId="17792948" w:rsidR="009C2A3C" w:rsidRDefault="00565F80" w:rsidP="009C2A3C">
      <w:pPr>
        <w:tabs>
          <w:tab w:val="left" w:pos="1440"/>
        </w:tabs>
        <w:spacing w:after="60"/>
        <w:ind w:left="1440" w:hanging="1440"/>
        <w:rPr>
          <w:b/>
          <w:bCs w:val="0"/>
        </w:rPr>
      </w:pPr>
      <w:r w:rsidRPr="006E7A63">
        <w:rPr>
          <w:b/>
          <w:bCs w:val="0"/>
          <w:color w:val="000000" w:themeColor="text1"/>
        </w:rPr>
        <w:t xml:space="preserve">Proposal </w:t>
      </w:r>
      <w:r w:rsidR="009C2A3C">
        <w:rPr>
          <w:b/>
          <w:bCs w:val="0"/>
          <w:color w:val="000000" w:themeColor="text1"/>
        </w:rPr>
        <w:t>5</w:t>
      </w:r>
      <w:r w:rsidRPr="006E7A63">
        <w:rPr>
          <w:b/>
          <w:bCs w:val="0"/>
          <w:color w:val="000000" w:themeColor="text1"/>
        </w:rPr>
        <w:t>.</w:t>
      </w:r>
      <w:r w:rsidRPr="006E7A63">
        <w:rPr>
          <w:b/>
          <w:bCs w:val="0"/>
          <w:color w:val="000000" w:themeColor="text1"/>
        </w:rPr>
        <w:tab/>
      </w:r>
      <w:r w:rsidR="009C2A3C">
        <w:rPr>
          <w:b/>
          <w:bCs w:val="0"/>
        </w:rPr>
        <w:t>During handover for a RedCap UE, i</w:t>
      </w:r>
      <w:r w:rsidR="009C2A3C" w:rsidRPr="006413A6">
        <w:rPr>
          <w:b/>
          <w:bCs w:val="0"/>
        </w:rPr>
        <w:t xml:space="preserve">f </w:t>
      </w:r>
      <w:r w:rsidR="009C2A3C">
        <w:rPr>
          <w:b/>
          <w:bCs w:val="0"/>
        </w:rPr>
        <w:t>the</w:t>
      </w:r>
      <w:r w:rsidR="009C2A3C" w:rsidRPr="006413A6">
        <w:rPr>
          <w:b/>
          <w:bCs w:val="0"/>
        </w:rPr>
        <w:t xml:space="preserve"> source cell supports RedCap, </w:t>
      </w:r>
    </w:p>
    <w:p w14:paraId="618667D1" w14:textId="77777777" w:rsidR="009C2A3C" w:rsidRDefault="009C2A3C" w:rsidP="009C2A3C">
      <w:pPr>
        <w:pStyle w:val="ListParagraph"/>
        <w:numPr>
          <w:ilvl w:val="0"/>
          <w:numId w:val="38"/>
        </w:numPr>
        <w:tabs>
          <w:tab w:val="left" w:pos="1440"/>
        </w:tabs>
        <w:spacing w:before="0" w:after="60"/>
        <w:ind w:leftChars="0" w:left="1814" w:hanging="187"/>
        <w:rPr>
          <w:b/>
          <w:bCs w:val="0"/>
        </w:rPr>
      </w:pPr>
      <w:r w:rsidRPr="00E67B91">
        <w:rPr>
          <w:b/>
          <w:bCs w:val="0"/>
        </w:rPr>
        <w:t>it should select a target cell for the UE only among RedCap-supporting neighbor cells, unless no such cells are available</w:t>
      </w:r>
      <w:r>
        <w:rPr>
          <w:b/>
          <w:bCs w:val="0"/>
        </w:rPr>
        <w:t>;</w:t>
      </w:r>
    </w:p>
    <w:p w14:paraId="73263F40" w14:textId="187AC6A1" w:rsidR="00565F80" w:rsidRPr="00CC3C94" w:rsidRDefault="009C2A3C" w:rsidP="00CC3C94">
      <w:pPr>
        <w:pStyle w:val="ListParagraph"/>
        <w:numPr>
          <w:ilvl w:val="0"/>
          <w:numId w:val="38"/>
        </w:numPr>
        <w:spacing w:before="0" w:after="60"/>
        <w:ind w:leftChars="0" w:left="1814" w:hanging="187"/>
        <w:rPr>
          <w:b/>
          <w:bCs w:val="0"/>
        </w:rPr>
      </w:pPr>
      <w:r w:rsidRPr="00E67B91">
        <w:rPr>
          <w:b/>
          <w:bCs w:val="0"/>
        </w:rPr>
        <w:t xml:space="preserve">Otherwise, it should handover the UE to a legacy cell to which </w:t>
      </w:r>
      <w:r>
        <w:rPr>
          <w:b/>
          <w:bCs w:val="0"/>
        </w:rPr>
        <w:t xml:space="preserve">the </w:t>
      </w:r>
      <w:r w:rsidRPr="00E67B91">
        <w:rPr>
          <w:b/>
          <w:bCs w:val="0"/>
        </w:rPr>
        <w:t xml:space="preserve">UE can </w:t>
      </w:r>
      <w:r>
        <w:rPr>
          <w:b/>
          <w:bCs w:val="0"/>
        </w:rPr>
        <w:t>access as non-RedCap</w:t>
      </w:r>
      <w:r w:rsidRPr="00E67B91">
        <w:rPr>
          <w:b/>
          <w:bCs w:val="0"/>
        </w:rPr>
        <w:t xml:space="preserve">. FFS whether this </w:t>
      </w:r>
      <w:r>
        <w:rPr>
          <w:b/>
          <w:bCs w:val="0"/>
        </w:rPr>
        <w:t>handover</w:t>
      </w:r>
      <w:r w:rsidRPr="00E67B91">
        <w:rPr>
          <w:b/>
          <w:bCs w:val="0"/>
        </w:rPr>
        <w:t xml:space="preserve"> is based on </w:t>
      </w:r>
      <w:r>
        <w:rPr>
          <w:b/>
          <w:bCs w:val="0"/>
        </w:rPr>
        <w:t xml:space="preserve">an </w:t>
      </w:r>
      <w:r w:rsidRPr="00E67B91">
        <w:rPr>
          <w:b/>
          <w:bCs w:val="0"/>
        </w:rPr>
        <w:t xml:space="preserve">indication </w:t>
      </w:r>
      <w:r>
        <w:rPr>
          <w:b/>
          <w:bCs w:val="0"/>
        </w:rPr>
        <w:t xml:space="preserve">in handover command </w:t>
      </w:r>
      <w:r w:rsidRPr="00E67B91">
        <w:rPr>
          <w:b/>
          <w:bCs w:val="0"/>
        </w:rPr>
        <w:t xml:space="preserve">or by UE implementation. </w:t>
      </w:r>
    </w:p>
    <w:p w14:paraId="15B88635" w14:textId="6395BD3B" w:rsidR="00284D83" w:rsidRPr="00D17BEE" w:rsidRDefault="00284D83" w:rsidP="00D17BEE">
      <w:pPr>
        <w:ind w:left="1440" w:hanging="1440"/>
        <w:rPr>
          <w:b/>
          <w:bCs w:val="0"/>
        </w:rPr>
      </w:pPr>
      <w:r w:rsidRPr="00140B1B">
        <w:rPr>
          <w:b/>
          <w:bCs w:val="0"/>
        </w:rPr>
        <w:t xml:space="preserve">Proposal </w:t>
      </w:r>
      <w:r>
        <w:rPr>
          <w:b/>
          <w:bCs w:val="0"/>
        </w:rPr>
        <w:t>6</w:t>
      </w:r>
      <w:r w:rsidRPr="00140B1B">
        <w:rPr>
          <w:b/>
          <w:bCs w:val="0"/>
        </w:rPr>
        <w:t xml:space="preserve">.  </w:t>
      </w:r>
      <w:r>
        <w:rPr>
          <w:b/>
          <w:bCs w:val="0"/>
        </w:rPr>
        <w:tab/>
      </w:r>
      <w:r w:rsidRPr="00140B1B">
        <w:rPr>
          <w:b/>
          <w:bCs w:val="0"/>
        </w:rPr>
        <w:t xml:space="preserve">If a </w:t>
      </w:r>
      <w:r>
        <w:rPr>
          <w:b/>
          <w:bCs w:val="0"/>
        </w:rPr>
        <w:t xml:space="preserve">legacy source cell handover a </w:t>
      </w:r>
      <w:r w:rsidRPr="00140B1B">
        <w:rPr>
          <w:b/>
          <w:bCs w:val="0"/>
        </w:rPr>
        <w:t>RedCap UE</w:t>
      </w:r>
      <w:r>
        <w:rPr>
          <w:b/>
          <w:bCs w:val="0"/>
        </w:rPr>
        <w:t xml:space="preserve"> </w:t>
      </w:r>
      <w:r w:rsidRPr="00140B1B">
        <w:rPr>
          <w:b/>
          <w:bCs w:val="0"/>
        </w:rPr>
        <w:t>to a</w:t>
      </w:r>
      <w:r>
        <w:rPr>
          <w:b/>
          <w:bCs w:val="0"/>
        </w:rPr>
        <w:t>nother</w:t>
      </w:r>
      <w:r w:rsidRPr="00140B1B">
        <w:rPr>
          <w:b/>
          <w:bCs w:val="0"/>
        </w:rPr>
        <w:t xml:space="preserve"> legacy cell, </w:t>
      </w:r>
      <w:r>
        <w:rPr>
          <w:b/>
          <w:bCs w:val="0"/>
        </w:rPr>
        <w:t>i</w:t>
      </w:r>
      <w:r w:rsidRPr="00E5453E">
        <w:rPr>
          <w:b/>
          <w:bCs w:val="0"/>
        </w:rPr>
        <w:t>t is up to UE implementation whether</w:t>
      </w:r>
      <w:r>
        <w:rPr>
          <w:b/>
          <w:bCs w:val="0"/>
        </w:rPr>
        <w:t xml:space="preserve">/when </w:t>
      </w:r>
      <w:r w:rsidRPr="00E5453E">
        <w:rPr>
          <w:b/>
          <w:bCs w:val="0"/>
        </w:rPr>
        <w:t>to reselect to a RedCap-support</w:t>
      </w:r>
      <w:r>
        <w:rPr>
          <w:b/>
          <w:bCs w:val="0"/>
        </w:rPr>
        <w:t>ing</w:t>
      </w:r>
      <w:r w:rsidRPr="00E5453E">
        <w:rPr>
          <w:b/>
          <w:bCs w:val="0"/>
        </w:rPr>
        <w:t xml:space="preserve"> cell (e.g. by RRC re</w:t>
      </w:r>
      <w:r>
        <w:rPr>
          <w:b/>
          <w:bCs w:val="0"/>
        </w:rPr>
        <w:t>-</w:t>
      </w:r>
      <w:r w:rsidRPr="00E5453E">
        <w:rPr>
          <w:b/>
          <w:bCs w:val="0"/>
        </w:rPr>
        <w:t>establishment)</w:t>
      </w:r>
      <w:r>
        <w:rPr>
          <w:b/>
          <w:bCs w:val="0"/>
        </w:rPr>
        <w:t>.</w:t>
      </w:r>
    </w:p>
    <w:p w14:paraId="3B489648" w14:textId="19ABBF01" w:rsidR="00284D83" w:rsidRPr="00E67B91" w:rsidRDefault="00284D83" w:rsidP="00284D83">
      <w:pPr>
        <w:tabs>
          <w:tab w:val="left" w:pos="1440"/>
        </w:tabs>
        <w:spacing w:before="180"/>
        <w:ind w:left="1440" w:hanging="1440"/>
        <w:rPr>
          <w:b/>
          <w:bCs w:val="0"/>
        </w:rPr>
      </w:pPr>
      <w:r w:rsidRPr="00E67B91">
        <w:rPr>
          <w:b/>
          <w:bCs w:val="0"/>
        </w:rPr>
        <w:t xml:space="preserve">Observation 4. </w:t>
      </w:r>
      <w:r>
        <w:rPr>
          <w:b/>
          <w:bCs w:val="0"/>
        </w:rPr>
        <w:t>In the current framework, network is not able to identify a RedCap UE accessing network through a legacy cell using fallback. That can cause issues for core network</w:t>
      </w:r>
      <w:r w:rsidR="00CC440B">
        <w:rPr>
          <w:b/>
          <w:bCs w:val="0"/>
        </w:rPr>
        <w:t xml:space="preserve"> and RAN on</w:t>
      </w:r>
      <w:r>
        <w:rPr>
          <w:b/>
          <w:bCs w:val="0"/>
        </w:rPr>
        <w:t xml:space="preserve"> procedures such as charging or service restriction.</w:t>
      </w:r>
    </w:p>
    <w:p w14:paraId="6ABA22AB" w14:textId="77777777" w:rsidR="00284D83" w:rsidRDefault="00284D83" w:rsidP="00CC3C94">
      <w:pPr>
        <w:tabs>
          <w:tab w:val="left" w:pos="1440"/>
        </w:tabs>
        <w:spacing w:after="60"/>
        <w:ind w:left="1440" w:hanging="1440"/>
        <w:rPr>
          <w:rFonts w:eastAsiaTheme="minorEastAsia"/>
          <w:b/>
          <w:bCs w:val="0"/>
        </w:rPr>
      </w:pPr>
      <w:r w:rsidRPr="008E490C">
        <w:rPr>
          <w:rFonts w:eastAsiaTheme="minorEastAsia"/>
          <w:b/>
          <w:bCs w:val="0"/>
        </w:rPr>
        <w:t xml:space="preserve">Proposal </w:t>
      </w:r>
      <w:r>
        <w:rPr>
          <w:rFonts w:eastAsiaTheme="minorEastAsia"/>
          <w:b/>
          <w:bCs w:val="0"/>
        </w:rPr>
        <w:t>7</w:t>
      </w:r>
      <w:r w:rsidRPr="008E490C">
        <w:rPr>
          <w:rFonts w:eastAsiaTheme="minorEastAsia"/>
          <w:b/>
          <w:bCs w:val="0"/>
        </w:rPr>
        <w:t>.</w:t>
      </w:r>
      <w:r>
        <w:rPr>
          <w:rFonts w:eastAsiaTheme="minorEastAsia"/>
        </w:rPr>
        <w:t xml:space="preserve"> </w:t>
      </w:r>
      <w:r>
        <w:rPr>
          <w:rFonts w:eastAsiaTheme="minorEastAsia"/>
        </w:rPr>
        <w:tab/>
      </w:r>
      <w:r>
        <w:rPr>
          <w:rFonts w:eastAsiaTheme="minorEastAsia"/>
          <w:b/>
          <w:bCs w:val="0"/>
        </w:rPr>
        <w:t xml:space="preserve">A RedCap UE should inform core network when it is accessing network through a legacy cell, during either initial access or handover. </w:t>
      </w:r>
    </w:p>
    <w:p w14:paraId="45CD3A1B" w14:textId="77777777" w:rsidR="00284D83" w:rsidRPr="00DE3729" w:rsidRDefault="00284D83" w:rsidP="00284D83">
      <w:pPr>
        <w:tabs>
          <w:tab w:val="left" w:pos="1440"/>
        </w:tabs>
        <w:ind w:left="1440" w:hanging="1440"/>
        <w:rPr>
          <w:rFonts w:eastAsiaTheme="minorEastAsia"/>
        </w:rPr>
      </w:pPr>
      <w:r>
        <w:rPr>
          <w:rFonts w:eastAsiaTheme="minorEastAsia"/>
          <w:b/>
          <w:bCs w:val="0"/>
        </w:rPr>
        <w:t xml:space="preserve">Proposal 8. </w:t>
      </w:r>
      <w:r>
        <w:rPr>
          <w:rFonts w:eastAsiaTheme="minorEastAsia"/>
          <w:b/>
          <w:bCs w:val="0"/>
        </w:rPr>
        <w:tab/>
        <w:t xml:space="preserve">Send a LS to SA2/CT1 to ask them to work on the necessary changes in core network. </w:t>
      </w:r>
    </w:p>
    <w:p w14:paraId="3663D5AD" w14:textId="53D9DE36" w:rsidR="007D0D4A" w:rsidRDefault="007D0D4A">
      <w:pPr>
        <w:tabs>
          <w:tab w:val="left" w:pos="1440"/>
        </w:tabs>
        <w:ind w:left="1440" w:hanging="1440"/>
      </w:pPr>
    </w:p>
    <w:sectPr w:rsidR="007D0D4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F76F6" w14:textId="77777777" w:rsidR="00563A08" w:rsidRDefault="00563A08">
      <w:r>
        <w:separator/>
      </w:r>
    </w:p>
    <w:p w14:paraId="09939642" w14:textId="77777777" w:rsidR="00563A08" w:rsidRDefault="00563A08"/>
  </w:endnote>
  <w:endnote w:type="continuationSeparator" w:id="0">
    <w:p w14:paraId="33419EF5" w14:textId="77777777" w:rsidR="00563A08" w:rsidRDefault="00563A08">
      <w:r>
        <w:continuationSeparator/>
      </w:r>
    </w:p>
    <w:p w14:paraId="777BF08C" w14:textId="77777777" w:rsidR="00563A08" w:rsidRDefault="00563A08"/>
  </w:endnote>
  <w:endnote w:type="continuationNotice" w:id="1">
    <w:p w14:paraId="5F7415CD" w14:textId="77777777" w:rsidR="00563A08" w:rsidRDefault="00563A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1BA454" w14:textId="77777777" w:rsidR="00563A08" w:rsidRDefault="00563A08">
      <w:r>
        <w:separator/>
      </w:r>
    </w:p>
    <w:p w14:paraId="337BE4F6" w14:textId="77777777" w:rsidR="00563A08" w:rsidRDefault="00563A08"/>
  </w:footnote>
  <w:footnote w:type="continuationSeparator" w:id="0">
    <w:p w14:paraId="5B10D722" w14:textId="77777777" w:rsidR="00563A08" w:rsidRDefault="00563A08">
      <w:r>
        <w:continuationSeparator/>
      </w:r>
    </w:p>
    <w:p w14:paraId="301A246B" w14:textId="77777777" w:rsidR="00563A08" w:rsidRDefault="00563A08"/>
  </w:footnote>
  <w:footnote w:type="continuationNotice" w:id="1">
    <w:p w14:paraId="2BD94F74" w14:textId="77777777" w:rsidR="00563A08" w:rsidRDefault="00563A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297377" w:rsidRDefault="00297377"/>
  <w:p w14:paraId="3F82E75E" w14:textId="77777777" w:rsidR="00297377" w:rsidRDefault="002973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46BA" w14:textId="77777777" w:rsidR="00297377" w:rsidRDefault="00297377" w:rsidP="00891B18">
    <w:pPr>
      <w:framePr w:w="946" w:h="272" w:hRule="exact" w:wrap="around" w:vAnchor="text" w:hAnchor="margin" w:xAlign="center" w:y="1"/>
      <w:rPr>
        <w:rFonts w:cs="Arial"/>
        <w:b/>
        <w:bCs w:val="0"/>
        <w:sz w:val="18"/>
      </w:rPr>
    </w:pPr>
    <w:r>
      <w:rPr>
        <w:rFonts w:cs="Arial"/>
        <w:b/>
        <w:sz w:val="18"/>
      </w:rPr>
      <w:t xml:space="preserve">Page </w:t>
    </w:r>
    <w:r>
      <w:rPr>
        <w:rFonts w:cs="Arial"/>
        <w:b/>
        <w:bCs w:val="0"/>
        <w:sz w:val="18"/>
      </w:rPr>
      <w:fldChar w:fldCharType="begin"/>
    </w:r>
    <w:r>
      <w:rPr>
        <w:rFonts w:cs="Arial"/>
        <w:b/>
        <w:sz w:val="18"/>
      </w:rPr>
      <w:instrText xml:space="preserve">page </w:instrText>
    </w:r>
    <w:r>
      <w:rPr>
        <w:rFonts w:cs="Arial"/>
        <w:b/>
        <w:bCs w:val="0"/>
        <w:sz w:val="18"/>
      </w:rPr>
      <w:fldChar w:fldCharType="separate"/>
    </w:r>
    <w:r>
      <w:rPr>
        <w:rFonts w:cs="Arial"/>
        <w:b/>
        <w:sz w:val="18"/>
      </w:rPr>
      <w:t>1</w:t>
    </w:r>
    <w:r>
      <w:rPr>
        <w:rFonts w:cs="Arial"/>
        <w:b/>
        <w:bCs w:val="0"/>
        <w:sz w:val="18"/>
      </w:rPr>
      <w:fldChar w:fldCharType="end"/>
    </w:r>
  </w:p>
  <w:p w14:paraId="3B8632B9" w14:textId="77777777" w:rsidR="00297377" w:rsidRDefault="002973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C7CD9"/>
    <w:multiLevelType w:val="hybridMultilevel"/>
    <w:tmpl w:val="DF647C4A"/>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0C2BDD"/>
    <w:multiLevelType w:val="hybridMultilevel"/>
    <w:tmpl w:val="EB66523A"/>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726808"/>
    <w:multiLevelType w:val="hybridMultilevel"/>
    <w:tmpl w:val="80409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5F042F"/>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279A7348"/>
    <w:multiLevelType w:val="hybridMultilevel"/>
    <w:tmpl w:val="DF9CF61E"/>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9E0356"/>
    <w:multiLevelType w:val="hybridMultilevel"/>
    <w:tmpl w:val="2F961A1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3123E7"/>
    <w:multiLevelType w:val="multilevel"/>
    <w:tmpl w:val="7B2CD562"/>
    <w:numStyleLink w:val="ListNumbers"/>
  </w:abstractNum>
  <w:abstractNum w:abstractNumId="9" w15:restartNumberingAfterBreak="0">
    <w:nsid w:val="2C893589"/>
    <w:multiLevelType w:val="hybridMultilevel"/>
    <w:tmpl w:val="C0DC616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21A4A69"/>
    <w:multiLevelType w:val="hybridMultilevel"/>
    <w:tmpl w:val="AD425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841182"/>
    <w:multiLevelType w:val="hybridMultilevel"/>
    <w:tmpl w:val="AAAE85AA"/>
    <w:lvl w:ilvl="0" w:tplc="93A6F11E">
      <w:start w:val="1"/>
      <w:numFmt w:val="bullet"/>
      <w:lvlText w:val="-"/>
      <w:lvlJc w:val="left"/>
      <w:pPr>
        <w:ind w:left="818" w:hanging="360"/>
      </w:pPr>
      <w:rPr>
        <w:rFonts w:ascii="Courier New" w:hAnsi="Courier New"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13" w15:restartNumberingAfterBreak="0">
    <w:nsid w:val="3C3C0579"/>
    <w:multiLevelType w:val="hybridMultilevel"/>
    <w:tmpl w:val="62C24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3747499"/>
    <w:multiLevelType w:val="hybridMultilevel"/>
    <w:tmpl w:val="387EAE56"/>
    <w:lvl w:ilvl="0" w:tplc="F5E276CE">
      <w:start w:val="1"/>
      <w:numFmt w:val="decimal"/>
      <w:lvlText w:val="A%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F50825"/>
    <w:multiLevelType w:val="hybridMultilevel"/>
    <w:tmpl w:val="24A06042"/>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47559F"/>
    <w:multiLevelType w:val="hybridMultilevel"/>
    <w:tmpl w:val="BE66F62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424C03"/>
    <w:multiLevelType w:val="hybridMultilevel"/>
    <w:tmpl w:val="A10A7826"/>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4B3028"/>
    <w:multiLevelType w:val="hybridMultilevel"/>
    <w:tmpl w:val="DB585D3E"/>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BD37C4"/>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0C6D01"/>
    <w:multiLevelType w:val="hybridMultilevel"/>
    <w:tmpl w:val="FAAE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053B14"/>
    <w:multiLevelType w:val="hybridMultilevel"/>
    <w:tmpl w:val="42A62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566DBE"/>
    <w:multiLevelType w:val="hybridMultilevel"/>
    <w:tmpl w:val="9FBC9740"/>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436335"/>
    <w:multiLevelType w:val="hybridMultilevel"/>
    <w:tmpl w:val="6C069262"/>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4BD1352"/>
    <w:multiLevelType w:val="hybridMultilevel"/>
    <w:tmpl w:val="A4AE3236"/>
    <w:lvl w:ilvl="0" w:tplc="041D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28" w15:restartNumberingAfterBreak="0">
    <w:nsid w:val="568C7A5D"/>
    <w:multiLevelType w:val="hybridMultilevel"/>
    <w:tmpl w:val="469890B0"/>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DC4CF3"/>
    <w:multiLevelType w:val="hybridMultilevel"/>
    <w:tmpl w:val="9CB2FD92"/>
    <w:lvl w:ilvl="0" w:tplc="93A6F11E">
      <w:start w:val="1"/>
      <w:numFmt w:val="bullet"/>
      <w:lvlText w:val="-"/>
      <w:lvlJc w:val="left"/>
      <w:pPr>
        <w:ind w:left="2160" w:hanging="360"/>
      </w:pPr>
      <w:rPr>
        <w:rFonts w:ascii="Courier New" w:hAnsi="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15:restartNumberingAfterBreak="0">
    <w:nsid w:val="58BA1947"/>
    <w:multiLevelType w:val="hybridMultilevel"/>
    <w:tmpl w:val="DD9C55EA"/>
    <w:lvl w:ilvl="0" w:tplc="041D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31" w15:restartNumberingAfterBreak="0">
    <w:nsid w:val="65AA7933"/>
    <w:multiLevelType w:val="hybridMultilevel"/>
    <w:tmpl w:val="5980F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8B1735"/>
    <w:multiLevelType w:val="hybridMultilevel"/>
    <w:tmpl w:val="0C600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1234C5"/>
    <w:multiLevelType w:val="hybridMultilevel"/>
    <w:tmpl w:val="5A26B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34"/>
  </w:num>
  <w:num w:numId="3">
    <w:abstractNumId w:val="14"/>
  </w:num>
  <w:num w:numId="4">
    <w:abstractNumId w:val="26"/>
  </w:num>
  <w:num w:numId="5">
    <w:abstractNumId w:val="4"/>
  </w:num>
  <w:num w:numId="6">
    <w:abstractNumId w:val="8"/>
  </w:num>
  <w:num w:numId="7">
    <w:abstractNumId w:val="32"/>
  </w:num>
  <w:num w:numId="8">
    <w:abstractNumId w:val="25"/>
  </w:num>
  <w:num w:numId="9">
    <w:abstractNumId w:val="10"/>
  </w:num>
  <w:num w:numId="10">
    <w:abstractNumId w:val="5"/>
  </w:num>
  <w:num w:numId="11">
    <w:abstractNumId w:val="33"/>
  </w:num>
  <w:num w:numId="12">
    <w:abstractNumId w:val="13"/>
  </w:num>
  <w:num w:numId="13">
    <w:abstractNumId w:val="22"/>
  </w:num>
  <w:num w:numId="14">
    <w:abstractNumId w:val="31"/>
  </w:num>
  <w:num w:numId="15">
    <w:abstractNumId w:val="11"/>
  </w:num>
  <w:num w:numId="16">
    <w:abstractNumId w:val="21"/>
  </w:num>
  <w:num w:numId="17">
    <w:abstractNumId w:val="19"/>
  </w:num>
  <w:num w:numId="18">
    <w:abstractNumId w:val="23"/>
  </w:num>
  <w:num w:numId="19">
    <w:abstractNumId w:val="18"/>
  </w:num>
  <w:num w:numId="2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9"/>
  </w:num>
  <w:num w:numId="23">
    <w:abstractNumId w:val="28"/>
  </w:num>
  <w:num w:numId="24">
    <w:abstractNumId w:val="15"/>
  </w:num>
  <w:num w:numId="25">
    <w:abstractNumId w:val="3"/>
  </w:num>
  <w:num w:numId="26">
    <w:abstractNumId w:val="37"/>
  </w:num>
  <w:num w:numId="27">
    <w:abstractNumId w:val="20"/>
  </w:num>
  <w:num w:numId="28">
    <w:abstractNumId w:val="2"/>
  </w:num>
  <w:num w:numId="29">
    <w:abstractNumId w:val="36"/>
  </w:num>
  <w:num w:numId="30">
    <w:abstractNumId w:val="7"/>
  </w:num>
  <w:num w:numId="31">
    <w:abstractNumId w:val="30"/>
  </w:num>
  <w:num w:numId="32">
    <w:abstractNumId w:val="27"/>
  </w:num>
  <w:num w:numId="33">
    <w:abstractNumId w:val="6"/>
  </w:num>
  <w:num w:numId="34">
    <w:abstractNumId w:val="24"/>
  </w:num>
  <w:num w:numId="35">
    <w:abstractNumId w:val="16"/>
  </w:num>
  <w:num w:numId="36">
    <w:abstractNumId w:val="12"/>
  </w:num>
  <w:num w:numId="37">
    <w:abstractNumId w:val="0"/>
  </w:num>
  <w:num w:numId="38">
    <w:abstractNumId w:val="29"/>
  </w:num>
  <w:num w:numId="39">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231"/>
    <w:rsid w:val="00000556"/>
    <w:rsid w:val="000009BF"/>
    <w:rsid w:val="000019B4"/>
    <w:rsid w:val="00002E20"/>
    <w:rsid w:val="000048D6"/>
    <w:rsid w:val="00005802"/>
    <w:rsid w:val="00005BA9"/>
    <w:rsid w:val="000069E9"/>
    <w:rsid w:val="00006ED1"/>
    <w:rsid w:val="00006EDD"/>
    <w:rsid w:val="000073EB"/>
    <w:rsid w:val="000076D0"/>
    <w:rsid w:val="000109F9"/>
    <w:rsid w:val="00011393"/>
    <w:rsid w:val="00011F72"/>
    <w:rsid w:val="00012946"/>
    <w:rsid w:val="00012C37"/>
    <w:rsid w:val="00012C87"/>
    <w:rsid w:val="00012D50"/>
    <w:rsid w:val="00013079"/>
    <w:rsid w:val="00013391"/>
    <w:rsid w:val="0001340F"/>
    <w:rsid w:val="00013F15"/>
    <w:rsid w:val="0001416D"/>
    <w:rsid w:val="00014C8E"/>
    <w:rsid w:val="00015AA5"/>
    <w:rsid w:val="00016491"/>
    <w:rsid w:val="000168CE"/>
    <w:rsid w:val="00016985"/>
    <w:rsid w:val="00016EC9"/>
    <w:rsid w:val="00017802"/>
    <w:rsid w:val="0002100A"/>
    <w:rsid w:val="00021C39"/>
    <w:rsid w:val="00022FD0"/>
    <w:rsid w:val="00023DC4"/>
    <w:rsid w:val="000241A1"/>
    <w:rsid w:val="00024208"/>
    <w:rsid w:val="00024A54"/>
    <w:rsid w:val="00024BA4"/>
    <w:rsid w:val="00024CCA"/>
    <w:rsid w:val="0002512D"/>
    <w:rsid w:val="00026020"/>
    <w:rsid w:val="00026287"/>
    <w:rsid w:val="000262F3"/>
    <w:rsid w:val="0002667A"/>
    <w:rsid w:val="000270E9"/>
    <w:rsid w:val="00030A19"/>
    <w:rsid w:val="00030A80"/>
    <w:rsid w:val="0003112A"/>
    <w:rsid w:val="00031410"/>
    <w:rsid w:val="000318DD"/>
    <w:rsid w:val="00031D61"/>
    <w:rsid w:val="0003211B"/>
    <w:rsid w:val="000321BF"/>
    <w:rsid w:val="000321E2"/>
    <w:rsid w:val="00032B71"/>
    <w:rsid w:val="00033F8E"/>
    <w:rsid w:val="00034A28"/>
    <w:rsid w:val="0003508F"/>
    <w:rsid w:val="000351AD"/>
    <w:rsid w:val="0003521E"/>
    <w:rsid w:val="00035407"/>
    <w:rsid w:val="0003586B"/>
    <w:rsid w:val="000361BE"/>
    <w:rsid w:val="00036376"/>
    <w:rsid w:val="00036534"/>
    <w:rsid w:val="00036AE0"/>
    <w:rsid w:val="00036FCD"/>
    <w:rsid w:val="00037DEE"/>
    <w:rsid w:val="00037FB3"/>
    <w:rsid w:val="0004007A"/>
    <w:rsid w:val="00040E4E"/>
    <w:rsid w:val="000420DE"/>
    <w:rsid w:val="00043FFD"/>
    <w:rsid w:val="00044C1C"/>
    <w:rsid w:val="00044CDF"/>
    <w:rsid w:val="00045696"/>
    <w:rsid w:val="000456D6"/>
    <w:rsid w:val="00045CFA"/>
    <w:rsid w:val="0004779A"/>
    <w:rsid w:val="00050EF3"/>
    <w:rsid w:val="00051330"/>
    <w:rsid w:val="0005277A"/>
    <w:rsid w:val="0005282C"/>
    <w:rsid w:val="0005283A"/>
    <w:rsid w:val="000530D4"/>
    <w:rsid w:val="000537B7"/>
    <w:rsid w:val="00053F26"/>
    <w:rsid w:val="00053F5E"/>
    <w:rsid w:val="00054795"/>
    <w:rsid w:val="00055B28"/>
    <w:rsid w:val="00055CA8"/>
    <w:rsid w:val="00056C34"/>
    <w:rsid w:val="00056EB0"/>
    <w:rsid w:val="00057080"/>
    <w:rsid w:val="00057A8C"/>
    <w:rsid w:val="00057E66"/>
    <w:rsid w:val="000603C4"/>
    <w:rsid w:val="000608A3"/>
    <w:rsid w:val="00060BE9"/>
    <w:rsid w:val="00060E67"/>
    <w:rsid w:val="000615FD"/>
    <w:rsid w:val="00061E35"/>
    <w:rsid w:val="000623D5"/>
    <w:rsid w:val="00063734"/>
    <w:rsid w:val="00063CD8"/>
    <w:rsid w:val="00063F71"/>
    <w:rsid w:val="000643D6"/>
    <w:rsid w:val="00064C2D"/>
    <w:rsid w:val="00064C32"/>
    <w:rsid w:val="0006531B"/>
    <w:rsid w:val="0006559A"/>
    <w:rsid w:val="000659FC"/>
    <w:rsid w:val="00065E2D"/>
    <w:rsid w:val="00066CC0"/>
    <w:rsid w:val="00067763"/>
    <w:rsid w:val="00067869"/>
    <w:rsid w:val="000678B9"/>
    <w:rsid w:val="000702BB"/>
    <w:rsid w:val="00070B44"/>
    <w:rsid w:val="00071818"/>
    <w:rsid w:val="00071B4D"/>
    <w:rsid w:val="00072CC4"/>
    <w:rsid w:val="000736BD"/>
    <w:rsid w:val="00073DF0"/>
    <w:rsid w:val="00074295"/>
    <w:rsid w:val="00074C4B"/>
    <w:rsid w:val="00075388"/>
    <w:rsid w:val="0007542A"/>
    <w:rsid w:val="0007617D"/>
    <w:rsid w:val="000761C3"/>
    <w:rsid w:val="000767C7"/>
    <w:rsid w:val="00076AA4"/>
    <w:rsid w:val="00076DE5"/>
    <w:rsid w:val="00076E2E"/>
    <w:rsid w:val="00077266"/>
    <w:rsid w:val="00077CF6"/>
    <w:rsid w:val="00080137"/>
    <w:rsid w:val="00080956"/>
    <w:rsid w:val="00080AE1"/>
    <w:rsid w:val="000811A8"/>
    <w:rsid w:val="00081430"/>
    <w:rsid w:val="00081C0F"/>
    <w:rsid w:val="000827DC"/>
    <w:rsid w:val="00083A87"/>
    <w:rsid w:val="000848E0"/>
    <w:rsid w:val="00084DEF"/>
    <w:rsid w:val="000852AE"/>
    <w:rsid w:val="00086940"/>
    <w:rsid w:val="00086AB3"/>
    <w:rsid w:val="00086C64"/>
    <w:rsid w:val="00087C47"/>
    <w:rsid w:val="00090180"/>
    <w:rsid w:val="000901A1"/>
    <w:rsid w:val="000917C6"/>
    <w:rsid w:val="00091937"/>
    <w:rsid w:val="00092862"/>
    <w:rsid w:val="00092C76"/>
    <w:rsid w:val="00093599"/>
    <w:rsid w:val="00094061"/>
    <w:rsid w:val="00094AEC"/>
    <w:rsid w:val="00094DD9"/>
    <w:rsid w:val="000957BB"/>
    <w:rsid w:val="00095B52"/>
    <w:rsid w:val="000962F1"/>
    <w:rsid w:val="00096DA8"/>
    <w:rsid w:val="00097135"/>
    <w:rsid w:val="0009751C"/>
    <w:rsid w:val="00097827"/>
    <w:rsid w:val="000A10DF"/>
    <w:rsid w:val="000A1A8D"/>
    <w:rsid w:val="000A2266"/>
    <w:rsid w:val="000A256F"/>
    <w:rsid w:val="000A3EC0"/>
    <w:rsid w:val="000A42BB"/>
    <w:rsid w:val="000A4674"/>
    <w:rsid w:val="000A59A3"/>
    <w:rsid w:val="000A6089"/>
    <w:rsid w:val="000A7F04"/>
    <w:rsid w:val="000A7FF5"/>
    <w:rsid w:val="000B09D4"/>
    <w:rsid w:val="000B0C75"/>
    <w:rsid w:val="000B1AB0"/>
    <w:rsid w:val="000B1ACF"/>
    <w:rsid w:val="000B1F6F"/>
    <w:rsid w:val="000B2858"/>
    <w:rsid w:val="000B2C38"/>
    <w:rsid w:val="000B2CCE"/>
    <w:rsid w:val="000B2E4B"/>
    <w:rsid w:val="000B32CB"/>
    <w:rsid w:val="000B3EDD"/>
    <w:rsid w:val="000B4795"/>
    <w:rsid w:val="000B4CB2"/>
    <w:rsid w:val="000B5B95"/>
    <w:rsid w:val="000B6CD9"/>
    <w:rsid w:val="000C0440"/>
    <w:rsid w:val="000C0E6E"/>
    <w:rsid w:val="000C1132"/>
    <w:rsid w:val="000C1466"/>
    <w:rsid w:val="000C19FB"/>
    <w:rsid w:val="000C2005"/>
    <w:rsid w:val="000C3446"/>
    <w:rsid w:val="000C39A9"/>
    <w:rsid w:val="000C4013"/>
    <w:rsid w:val="000C50B2"/>
    <w:rsid w:val="000C54FF"/>
    <w:rsid w:val="000C562D"/>
    <w:rsid w:val="000C6060"/>
    <w:rsid w:val="000C6462"/>
    <w:rsid w:val="000C65AD"/>
    <w:rsid w:val="000C65B9"/>
    <w:rsid w:val="000C6D75"/>
    <w:rsid w:val="000C71EE"/>
    <w:rsid w:val="000C79D3"/>
    <w:rsid w:val="000C7D57"/>
    <w:rsid w:val="000D0CF6"/>
    <w:rsid w:val="000D0E2E"/>
    <w:rsid w:val="000D2514"/>
    <w:rsid w:val="000D29E2"/>
    <w:rsid w:val="000D2CC8"/>
    <w:rsid w:val="000D2E8D"/>
    <w:rsid w:val="000D2FCB"/>
    <w:rsid w:val="000D2FE7"/>
    <w:rsid w:val="000D38E5"/>
    <w:rsid w:val="000D4816"/>
    <w:rsid w:val="000D49ED"/>
    <w:rsid w:val="000D4B4D"/>
    <w:rsid w:val="000D544F"/>
    <w:rsid w:val="000D5B07"/>
    <w:rsid w:val="000D6B4C"/>
    <w:rsid w:val="000D6B55"/>
    <w:rsid w:val="000D7D98"/>
    <w:rsid w:val="000D7E08"/>
    <w:rsid w:val="000E08A6"/>
    <w:rsid w:val="000E0BFB"/>
    <w:rsid w:val="000E1011"/>
    <w:rsid w:val="000E1053"/>
    <w:rsid w:val="000E10F4"/>
    <w:rsid w:val="000E2958"/>
    <w:rsid w:val="000E2FA0"/>
    <w:rsid w:val="000E37C3"/>
    <w:rsid w:val="000E397B"/>
    <w:rsid w:val="000E3DE6"/>
    <w:rsid w:val="000E4093"/>
    <w:rsid w:val="000E475D"/>
    <w:rsid w:val="000E4EF5"/>
    <w:rsid w:val="000E59EA"/>
    <w:rsid w:val="000E5B4A"/>
    <w:rsid w:val="000E5B89"/>
    <w:rsid w:val="000E5ECA"/>
    <w:rsid w:val="000E60E8"/>
    <w:rsid w:val="000E7C73"/>
    <w:rsid w:val="000E7D9B"/>
    <w:rsid w:val="000E7E82"/>
    <w:rsid w:val="000F064E"/>
    <w:rsid w:val="000F1A1D"/>
    <w:rsid w:val="000F24A4"/>
    <w:rsid w:val="000F310A"/>
    <w:rsid w:val="000F39D2"/>
    <w:rsid w:val="000F3B7B"/>
    <w:rsid w:val="000F4ADC"/>
    <w:rsid w:val="000F4E00"/>
    <w:rsid w:val="000F685C"/>
    <w:rsid w:val="000F6AD4"/>
    <w:rsid w:val="000F70A4"/>
    <w:rsid w:val="00100D2A"/>
    <w:rsid w:val="00101378"/>
    <w:rsid w:val="00101D8F"/>
    <w:rsid w:val="00101EF7"/>
    <w:rsid w:val="00101FE6"/>
    <w:rsid w:val="001024C3"/>
    <w:rsid w:val="00102C92"/>
    <w:rsid w:val="00102DFF"/>
    <w:rsid w:val="00103145"/>
    <w:rsid w:val="00103159"/>
    <w:rsid w:val="00103882"/>
    <w:rsid w:val="00104277"/>
    <w:rsid w:val="00105378"/>
    <w:rsid w:val="00105900"/>
    <w:rsid w:val="00105D0B"/>
    <w:rsid w:val="00105DA1"/>
    <w:rsid w:val="0010621B"/>
    <w:rsid w:val="00106386"/>
    <w:rsid w:val="00106618"/>
    <w:rsid w:val="00106D9E"/>
    <w:rsid w:val="00106F37"/>
    <w:rsid w:val="00110653"/>
    <w:rsid w:val="00111775"/>
    <w:rsid w:val="00111EEC"/>
    <w:rsid w:val="00111FDD"/>
    <w:rsid w:val="00112652"/>
    <w:rsid w:val="00112830"/>
    <w:rsid w:val="00112C5B"/>
    <w:rsid w:val="00112C9D"/>
    <w:rsid w:val="001130BB"/>
    <w:rsid w:val="001138FC"/>
    <w:rsid w:val="00113969"/>
    <w:rsid w:val="00113E7B"/>
    <w:rsid w:val="0011426B"/>
    <w:rsid w:val="00115FE0"/>
    <w:rsid w:val="00117117"/>
    <w:rsid w:val="00117573"/>
    <w:rsid w:val="0012042A"/>
    <w:rsid w:val="00120570"/>
    <w:rsid w:val="0012062B"/>
    <w:rsid w:val="0012137C"/>
    <w:rsid w:val="001215A5"/>
    <w:rsid w:val="0012163A"/>
    <w:rsid w:val="0012176A"/>
    <w:rsid w:val="00121AF3"/>
    <w:rsid w:val="00123F8E"/>
    <w:rsid w:val="00124ED7"/>
    <w:rsid w:val="001250BC"/>
    <w:rsid w:val="00125810"/>
    <w:rsid w:val="00125E41"/>
    <w:rsid w:val="00126222"/>
    <w:rsid w:val="00126BD6"/>
    <w:rsid w:val="0012724D"/>
    <w:rsid w:val="00127E35"/>
    <w:rsid w:val="00130E7D"/>
    <w:rsid w:val="00130F9D"/>
    <w:rsid w:val="00132447"/>
    <w:rsid w:val="0013280B"/>
    <w:rsid w:val="00132C80"/>
    <w:rsid w:val="0013334E"/>
    <w:rsid w:val="00133C8E"/>
    <w:rsid w:val="001349BE"/>
    <w:rsid w:val="00134E73"/>
    <w:rsid w:val="00134FF7"/>
    <w:rsid w:val="00135175"/>
    <w:rsid w:val="00137115"/>
    <w:rsid w:val="0013715F"/>
    <w:rsid w:val="00137A78"/>
    <w:rsid w:val="00140136"/>
    <w:rsid w:val="00140B1B"/>
    <w:rsid w:val="001436CB"/>
    <w:rsid w:val="0014394C"/>
    <w:rsid w:val="0014411C"/>
    <w:rsid w:val="00144393"/>
    <w:rsid w:val="0014472B"/>
    <w:rsid w:val="00145126"/>
    <w:rsid w:val="001455E6"/>
    <w:rsid w:val="00145643"/>
    <w:rsid w:val="0014578C"/>
    <w:rsid w:val="001470E8"/>
    <w:rsid w:val="00147806"/>
    <w:rsid w:val="001500EB"/>
    <w:rsid w:val="00150A18"/>
    <w:rsid w:val="00150B42"/>
    <w:rsid w:val="00150BCE"/>
    <w:rsid w:val="0015205E"/>
    <w:rsid w:val="00152198"/>
    <w:rsid w:val="001552AC"/>
    <w:rsid w:val="00156382"/>
    <w:rsid w:val="00156591"/>
    <w:rsid w:val="00156A18"/>
    <w:rsid w:val="00156A90"/>
    <w:rsid w:val="001570F6"/>
    <w:rsid w:val="0015782C"/>
    <w:rsid w:val="00157E76"/>
    <w:rsid w:val="00160D7D"/>
    <w:rsid w:val="0016240C"/>
    <w:rsid w:val="00162432"/>
    <w:rsid w:val="00162CF0"/>
    <w:rsid w:val="00162E5C"/>
    <w:rsid w:val="001633AD"/>
    <w:rsid w:val="00163EEC"/>
    <w:rsid w:val="001649F2"/>
    <w:rsid w:val="00164CCC"/>
    <w:rsid w:val="0016515B"/>
    <w:rsid w:val="001654E2"/>
    <w:rsid w:val="00165C3F"/>
    <w:rsid w:val="0016629D"/>
    <w:rsid w:val="00166560"/>
    <w:rsid w:val="00167524"/>
    <w:rsid w:val="0016779B"/>
    <w:rsid w:val="00170A65"/>
    <w:rsid w:val="00170CE7"/>
    <w:rsid w:val="00171382"/>
    <w:rsid w:val="00173E7B"/>
    <w:rsid w:val="00174240"/>
    <w:rsid w:val="00174A05"/>
    <w:rsid w:val="00174B25"/>
    <w:rsid w:val="00174C43"/>
    <w:rsid w:val="0017527B"/>
    <w:rsid w:val="00175A09"/>
    <w:rsid w:val="00175D34"/>
    <w:rsid w:val="00176296"/>
    <w:rsid w:val="0017631E"/>
    <w:rsid w:val="0017722F"/>
    <w:rsid w:val="00177694"/>
    <w:rsid w:val="00177CBF"/>
    <w:rsid w:val="00177DA9"/>
    <w:rsid w:val="0018043B"/>
    <w:rsid w:val="00180E55"/>
    <w:rsid w:val="00181108"/>
    <w:rsid w:val="0018120D"/>
    <w:rsid w:val="00182233"/>
    <w:rsid w:val="001823D8"/>
    <w:rsid w:val="00182A7A"/>
    <w:rsid w:val="00183D6D"/>
    <w:rsid w:val="00183E5B"/>
    <w:rsid w:val="00186C20"/>
    <w:rsid w:val="0018755D"/>
    <w:rsid w:val="0018761A"/>
    <w:rsid w:val="00187B63"/>
    <w:rsid w:val="00187C49"/>
    <w:rsid w:val="00187D01"/>
    <w:rsid w:val="00187F9D"/>
    <w:rsid w:val="0019123C"/>
    <w:rsid w:val="00192EE6"/>
    <w:rsid w:val="00193662"/>
    <w:rsid w:val="00193715"/>
    <w:rsid w:val="00193AD9"/>
    <w:rsid w:val="00193DB0"/>
    <w:rsid w:val="001946EB"/>
    <w:rsid w:val="00194BA7"/>
    <w:rsid w:val="00195014"/>
    <w:rsid w:val="00195113"/>
    <w:rsid w:val="00195336"/>
    <w:rsid w:val="0019549D"/>
    <w:rsid w:val="00195BCB"/>
    <w:rsid w:val="00195D9C"/>
    <w:rsid w:val="001969E5"/>
    <w:rsid w:val="00197278"/>
    <w:rsid w:val="0019761F"/>
    <w:rsid w:val="00197D91"/>
    <w:rsid w:val="001A019D"/>
    <w:rsid w:val="001A04F4"/>
    <w:rsid w:val="001A0874"/>
    <w:rsid w:val="001A0FA0"/>
    <w:rsid w:val="001A1420"/>
    <w:rsid w:val="001A19FC"/>
    <w:rsid w:val="001A1B47"/>
    <w:rsid w:val="001A24A4"/>
    <w:rsid w:val="001A24CC"/>
    <w:rsid w:val="001A2517"/>
    <w:rsid w:val="001A27B4"/>
    <w:rsid w:val="001A28B1"/>
    <w:rsid w:val="001A292E"/>
    <w:rsid w:val="001A3242"/>
    <w:rsid w:val="001A35ED"/>
    <w:rsid w:val="001A397D"/>
    <w:rsid w:val="001A3F94"/>
    <w:rsid w:val="001A41BE"/>
    <w:rsid w:val="001A48D3"/>
    <w:rsid w:val="001A5534"/>
    <w:rsid w:val="001A5745"/>
    <w:rsid w:val="001A5B14"/>
    <w:rsid w:val="001A620E"/>
    <w:rsid w:val="001A650A"/>
    <w:rsid w:val="001A6C79"/>
    <w:rsid w:val="001A7919"/>
    <w:rsid w:val="001B00B3"/>
    <w:rsid w:val="001B0C56"/>
    <w:rsid w:val="001B0F38"/>
    <w:rsid w:val="001B11B8"/>
    <w:rsid w:val="001B19CD"/>
    <w:rsid w:val="001B1FCC"/>
    <w:rsid w:val="001B25C7"/>
    <w:rsid w:val="001B27AF"/>
    <w:rsid w:val="001B37E1"/>
    <w:rsid w:val="001B37E9"/>
    <w:rsid w:val="001B3D77"/>
    <w:rsid w:val="001B3DB9"/>
    <w:rsid w:val="001B3E62"/>
    <w:rsid w:val="001B53C6"/>
    <w:rsid w:val="001B55B3"/>
    <w:rsid w:val="001B5D6D"/>
    <w:rsid w:val="001B6A4A"/>
    <w:rsid w:val="001B6F27"/>
    <w:rsid w:val="001B7581"/>
    <w:rsid w:val="001B78DC"/>
    <w:rsid w:val="001B7DBC"/>
    <w:rsid w:val="001B7EF6"/>
    <w:rsid w:val="001B7F10"/>
    <w:rsid w:val="001C0343"/>
    <w:rsid w:val="001C1215"/>
    <w:rsid w:val="001C1FBB"/>
    <w:rsid w:val="001C28D1"/>
    <w:rsid w:val="001C2A41"/>
    <w:rsid w:val="001C2C49"/>
    <w:rsid w:val="001C30BF"/>
    <w:rsid w:val="001C341F"/>
    <w:rsid w:val="001C37C6"/>
    <w:rsid w:val="001C4508"/>
    <w:rsid w:val="001C4590"/>
    <w:rsid w:val="001C47B3"/>
    <w:rsid w:val="001C4D71"/>
    <w:rsid w:val="001C51AE"/>
    <w:rsid w:val="001C5668"/>
    <w:rsid w:val="001C584F"/>
    <w:rsid w:val="001C586A"/>
    <w:rsid w:val="001C58D9"/>
    <w:rsid w:val="001C686F"/>
    <w:rsid w:val="001C69A2"/>
    <w:rsid w:val="001C6AEB"/>
    <w:rsid w:val="001C6F5D"/>
    <w:rsid w:val="001C71E2"/>
    <w:rsid w:val="001C7743"/>
    <w:rsid w:val="001C78FD"/>
    <w:rsid w:val="001D0300"/>
    <w:rsid w:val="001D06BE"/>
    <w:rsid w:val="001D12A7"/>
    <w:rsid w:val="001D1E21"/>
    <w:rsid w:val="001D1EF7"/>
    <w:rsid w:val="001D285F"/>
    <w:rsid w:val="001D36FE"/>
    <w:rsid w:val="001D440F"/>
    <w:rsid w:val="001D51A9"/>
    <w:rsid w:val="001D53F0"/>
    <w:rsid w:val="001D56D0"/>
    <w:rsid w:val="001D5AFB"/>
    <w:rsid w:val="001D5D79"/>
    <w:rsid w:val="001D5F87"/>
    <w:rsid w:val="001D766D"/>
    <w:rsid w:val="001E0713"/>
    <w:rsid w:val="001E0AAF"/>
    <w:rsid w:val="001E17B4"/>
    <w:rsid w:val="001E1A61"/>
    <w:rsid w:val="001E202B"/>
    <w:rsid w:val="001E20E3"/>
    <w:rsid w:val="001E2111"/>
    <w:rsid w:val="001E2B81"/>
    <w:rsid w:val="001E34B9"/>
    <w:rsid w:val="001E35BB"/>
    <w:rsid w:val="001E5707"/>
    <w:rsid w:val="001E59F8"/>
    <w:rsid w:val="001E5CA3"/>
    <w:rsid w:val="001E7003"/>
    <w:rsid w:val="001F0027"/>
    <w:rsid w:val="001F069B"/>
    <w:rsid w:val="001F0B93"/>
    <w:rsid w:val="001F0E36"/>
    <w:rsid w:val="001F0FB5"/>
    <w:rsid w:val="001F12E8"/>
    <w:rsid w:val="001F1826"/>
    <w:rsid w:val="001F1E3A"/>
    <w:rsid w:val="001F4850"/>
    <w:rsid w:val="001F4DF2"/>
    <w:rsid w:val="001F5224"/>
    <w:rsid w:val="001F5329"/>
    <w:rsid w:val="001F546F"/>
    <w:rsid w:val="001F5F49"/>
    <w:rsid w:val="001F60A9"/>
    <w:rsid w:val="001F6AC6"/>
    <w:rsid w:val="001F7461"/>
    <w:rsid w:val="00200156"/>
    <w:rsid w:val="0020022E"/>
    <w:rsid w:val="00200DE1"/>
    <w:rsid w:val="00200FBE"/>
    <w:rsid w:val="002019DA"/>
    <w:rsid w:val="00202065"/>
    <w:rsid w:val="0020219D"/>
    <w:rsid w:val="00202B7A"/>
    <w:rsid w:val="00202F2B"/>
    <w:rsid w:val="002036B0"/>
    <w:rsid w:val="00204C52"/>
    <w:rsid w:val="0020566A"/>
    <w:rsid w:val="00206283"/>
    <w:rsid w:val="002067C0"/>
    <w:rsid w:val="00206A89"/>
    <w:rsid w:val="00206AD6"/>
    <w:rsid w:val="00206BDB"/>
    <w:rsid w:val="00207175"/>
    <w:rsid w:val="00207CF8"/>
    <w:rsid w:val="00207E3C"/>
    <w:rsid w:val="002100D2"/>
    <w:rsid w:val="002104B4"/>
    <w:rsid w:val="00210F72"/>
    <w:rsid w:val="00211AF7"/>
    <w:rsid w:val="00212740"/>
    <w:rsid w:val="002129ED"/>
    <w:rsid w:val="00213291"/>
    <w:rsid w:val="00213502"/>
    <w:rsid w:val="002148B4"/>
    <w:rsid w:val="00215936"/>
    <w:rsid w:val="00215D8D"/>
    <w:rsid w:val="002163B7"/>
    <w:rsid w:val="00217195"/>
    <w:rsid w:val="0021750A"/>
    <w:rsid w:val="00217D2F"/>
    <w:rsid w:val="00220202"/>
    <w:rsid w:val="00220F04"/>
    <w:rsid w:val="00221361"/>
    <w:rsid w:val="0022346D"/>
    <w:rsid w:val="00223C3A"/>
    <w:rsid w:val="00223C63"/>
    <w:rsid w:val="00224033"/>
    <w:rsid w:val="002257E4"/>
    <w:rsid w:val="002274BA"/>
    <w:rsid w:val="002274FD"/>
    <w:rsid w:val="002304C5"/>
    <w:rsid w:val="00230C6D"/>
    <w:rsid w:val="0023148C"/>
    <w:rsid w:val="00232039"/>
    <w:rsid w:val="002325BF"/>
    <w:rsid w:val="002332E4"/>
    <w:rsid w:val="0023366C"/>
    <w:rsid w:val="0023382A"/>
    <w:rsid w:val="00233CB1"/>
    <w:rsid w:val="00234BB1"/>
    <w:rsid w:val="0023537E"/>
    <w:rsid w:val="002354DE"/>
    <w:rsid w:val="00235FB6"/>
    <w:rsid w:val="00236675"/>
    <w:rsid w:val="002369C2"/>
    <w:rsid w:val="00236BF6"/>
    <w:rsid w:val="00236BF8"/>
    <w:rsid w:val="00236F2C"/>
    <w:rsid w:val="002370D8"/>
    <w:rsid w:val="002403F6"/>
    <w:rsid w:val="00242D18"/>
    <w:rsid w:val="00243DFC"/>
    <w:rsid w:val="0024550E"/>
    <w:rsid w:val="00245707"/>
    <w:rsid w:val="00245CE7"/>
    <w:rsid w:val="00246BC7"/>
    <w:rsid w:val="002474A2"/>
    <w:rsid w:val="002502D8"/>
    <w:rsid w:val="00250955"/>
    <w:rsid w:val="00250AB0"/>
    <w:rsid w:val="00250B57"/>
    <w:rsid w:val="00250E23"/>
    <w:rsid w:val="00250F2D"/>
    <w:rsid w:val="002514F0"/>
    <w:rsid w:val="002521C2"/>
    <w:rsid w:val="00252497"/>
    <w:rsid w:val="002524A8"/>
    <w:rsid w:val="00252518"/>
    <w:rsid w:val="00252CDB"/>
    <w:rsid w:val="00253ACC"/>
    <w:rsid w:val="00254621"/>
    <w:rsid w:val="00254E17"/>
    <w:rsid w:val="00255A7F"/>
    <w:rsid w:val="00255F2C"/>
    <w:rsid w:val="00256397"/>
    <w:rsid w:val="00256423"/>
    <w:rsid w:val="0025658F"/>
    <w:rsid w:val="0025717C"/>
    <w:rsid w:val="00257594"/>
    <w:rsid w:val="00260401"/>
    <w:rsid w:val="00260627"/>
    <w:rsid w:val="00261CF2"/>
    <w:rsid w:val="002626A0"/>
    <w:rsid w:val="00262B04"/>
    <w:rsid w:val="00262F4C"/>
    <w:rsid w:val="00263165"/>
    <w:rsid w:val="002631B3"/>
    <w:rsid w:val="002631F9"/>
    <w:rsid w:val="00264ADD"/>
    <w:rsid w:val="00264B64"/>
    <w:rsid w:val="00264CA5"/>
    <w:rsid w:val="00265971"/>
    <w:rsid w:val="00265F68"/>
    <w:rsid w:val="00265F72"/>
    <w:rsid w:val="0026661F"/>
    <w:rsid w:val="002668E6"/>
    <w:rsid w:val="002675DC"/>
    <w:rsid w:val="0026782C"/>
    <w:rsid w:val="00267AD3"/>
    <w:rsid w:val="00267C87"/>
    <w:rsid w:val="00270645"/>
    <w:rsid w:val="00270E63"/>
    <w:rsid w:val="002713A1"/>
    <w:rsid w:val="00271B41"/>
    <w:rsid w:val="002725A6"/>
    <w:rsid w:val="00272C35"/>
    <w:rsid w:val="00274BB4"/>
    <w:rsid w:val="00275433"/>
    <w:rsid w:val="00275F27"/>
    <w:rsid w:val="00276514"/>
    <w:rsid w:val="0027683C"/>
    <w:rsid w:val="002769B8"/>
    <w:rsid w:val="00276A98"/>
    <w:rsid w:val="00276E1D"/>
    <w:rsid w:val="00277277"/>
    <w:rsid w:val="002773DE"/>
    <w:rsid w:val="0027766F"/>
    <w:rsid w:val="0028059F"/>
    <w:rsid w:val="00280B0B"/>
    <w:rsid w:val="00281000"/>
    <w:rsid w:val="002813A5"/>
    <w:rsid w:val="00281664"/>
    <w:rsid w:val="002823AE"/>
    <w:rsid w:val="00284830"/>
    <w:rsid w:val="00284D83"/>
    <w:rsid w:val="00285195"/>
    <w:rsid w:val="00286074"/>
    <w:rsid w:val="002868A9"/>
    <w:rsid w:val="00287003"/>
    <w:rsid w:val="00287CD3"/>
    <w:rsid w:val="00290449"/>
    <w:rsid w:val="002906CB"/>
    <w:rsid w:val="00291183"/>
    <w:rsid w:val="0029212D"/>
    <w:rsid w:val="00292210"/>
    <w:rsid w:val="002923A0"/>
    <w:rsid w:val="00292B64"/>
    <w:rsid w:val="00293327"/>
    <w:rsid w:val="00293D35"/>
    <w:rsid w:val="00294730"/>
    <w:rsid w:val="00295C63"/>
    <w:rsid w:val="002960A6"/>
    <w:rsid w:val="00297377"/>
    <w:rsid w:val="00297E82"/>
    <w:rsid w:val="00297F88"/>
    <w:rsid w:val="002A18A0"/>
    <w:rsid w:val="002A2245"/>
    <w:rsid w:val="002A246D"/>
    <w:rsid w:val="002A4262"/>
    <w:rsid w:val="002A5549"/>
    <w:rsid w:val="002A695C"/>
    <w:rsid w:val="002A6C4C"/>
    <w:rsid w:val="002A6D1A"/>
    <w:rsid w:val="002A70C1"/>
    <w:rsid w:val="002A76ED"/>
    <w:rsid w:val="002A7B6F"/>
    <w:rsid w:val="002A7BDE"/>
    <w:rsid w:val="002A7D1C"/>
    <w:rsid w:val="002A7FA0"/>
    <w:rsid w:val="002B144B"/>
    <w:rsid w:val="002B41DA"/>
    <w:rsid w:val="002B4413"/>
    <w:rsid w:val="002B4AE9"/>
    <w:rsid w:val="002B4DA5"/>
    <w:rsid w:val="002B643C"/>
    <w:rsid w:val="002B7DC0"/>
    <w:rsid w:val="002C0ABA"/>
    <w:rsid w:val="002C34FC"/>
    <w:rsid w:val="002C4038"/>
    <w:rsid w:val="002C45DB"/>
    <w:rsid w:val="002C4704"/>
    <w:rsid w:val="002C47EE"/>
    <w:rsid w:val="002C4B4A"/>
    <w:rsid w:val="002C4CC5"/>
    <w:rsid w:val="002C5018"/>
    <w:rsid w:val="002C5094"/>
    <w:rsid w:val="002C570F"/>
    <w:rsid w:val="002C5961"/>
    <w:rsid w:val="002C6C9B"/>
    <w:rsid w:val="002C6DDF"/>
    <w:rsid w:val="002C74A4"/>
    <w:rsid w:val="002C7CCE"/>
    <w:rsid w:val="002D00E4"/>
    <w:rsid w:val="002D037E"/>
    <w:rsid w:val="002D1CBE"/>
    <w:rsid w:val="002D1DA9"/>
    <w:rsid w:val="002D2C4B"/>
    <w:rsid w:val="002D3CDA"/>
    <w:rsid w:val="002D4766"/>
    <w:rsid w:val="002D51B5"/>
    <w:rsid w:val="002D58DF"/>
    <w:rsid w:val="002D67B4"/>
    <w:rsid w:val="002D67C6"/>
    <w:rsid w:val="002D6C1E"/>
    <w:rsid w:val="002D6ECB"/>
    <w:rsid w:val="002D6F60"/>
    <w:rsid w:val="002D7F36"/>
    <w:rsid w:val="002E02CB"/>
    <w:rsid w:val="002E0D77"/>
    <w:rsid w:val="002E14AC"/>
    <w:rsid w:val="002E1675"/>
    <w:rsid w:val="002E3C1A"/>
    <w:rsid w:val="002E5E9B"/>
    <w:rsid w:val="002F08B7"/>
    <w:rsid w:val="002F0B16"/>
    <w:rsid w:val="002F14C6"/>
    <w:rsid w:val="002F197F"/>
    <w:rsid w:val="002F1B01"/>
    <w:rsid w:val="002F1B15"/>
    <w:rsid w:val="002F466A"/>
    <w:rsid w:val="002F55FC"/>
    <w:rsid w:val="002F6BD6"/>
    <w:rsid w:val="002F7416"/>
    <w:rsid w:val="002F7C80"/>
    <w:rsid w:val="003001AE"/>
    <w:rsid w:val="003006C7"/>
    <w:rsid w:val="00300B91"/>
    <w:rsid w:val="00300FA9"/>
    <w:rsid w:val="00301AC2"/>
    <w:rsid w:val="0030249D"/>
    <w:rsid w:val="00302556"/>
    <w:rsid w:val="003029C1"/>
    <w:rsid w:val="00302BEE"/>
    <w:rsid w:val="00302CAE"/>
    <w:rsid w:val="00303B99"/>
    <w:rsid w:val="0030527F"/>
    <w:rsid w:val="00305F0E"/>
    <w:rsid w:val="0030633B"/>
    <w:rsid w:val="0030664C"/>
    <w:rsid w:val="0030703A"/>
    <w:rsid w:val="003077D1"/>
    <w:rsid w:val="00307ED5"/>
    <w:rsid w:val="00307F9B"/>
    <w:rsid w:val="00310169"/>
    <w:rsid w:val="00310247"/>
    <w:rsid w:val="00310248"/>
    <w:rsid w:val="00310BFA"/>
    <w:rsid w:val="00311F29"/>
    <w:rsid w:val="00311F6A"/>
    <w:rsid w:val="00312237"/>
    <w:rsid w:val="003126E3"/>
    <w:rsid w:val="003128DB"/>
    <w:rsid w:val="00312928"/>
    <w:rsid w:val="00312A3A"/>
    <w:rsid w:val="00312BF4"/>
    <w:rsid w:val="00312E2A"/>
    <w:rsid w:val="00312F4D"/>
    <w:rsid w:val="0031337B"/>
    <w:rsid w:val="003137E5"/>
    <w:rsid w:val="00314110"/>
    <w:rsid w:val="00314659"/>
    <w:rsid w:val="0031471B"/>
    <w:rsid w:val="00314E28"/>
    <w:rsid w:val="00314F91"/>
    <w:rsid w:val="00314FEF"/>
    <w:rsid w:val="00315971"/>
    <w:rsid w:val="00315C79"/>
    <w:rsid w:val="003168A7"/>
    <w:rsid w:val="00316B19"/>
    <w:rsid w:val="00316F16"/>
    <w:rsid w:val="00317D3A"/>
    <w:rsid w:val="00320D21"/>
    <w:rsid w:val="00320FCE"/>
    <w:rsid w:val="0032150B"/>
    <w:rsid w:val="00321693"/>
    <w:rsid w:val="00322315"/>
    <w:rsid w:val="00323446"/>
    <w:rsid w:val="00323E36"/>
    <w:rsid w:val="00324486"/>
    <w:rsid w:val="003247F2"/>
    <w:rsid w:val="00325095"/>
    <w:rsid w:val="003253D3"/>
    <w:rsid w:val="003257E3"/>
    <w:rsid w:val="00326CFC"/>
    <w:rsid w:val="00327364"/>
    <w:rsid w:val="00330113"/>
    <w:rsid w:val="00330236"/>
    <w:rsid w:val="00330341"/>
    <w:rsid w:val="00331416"/>
    <w:rsid w:val="00331668"/>
    <w:rsid w:val="00331B6D"/>
    <w:rsid w:val="0033298F"/>
    <w:rsid w:val="00332DAA"/>
    <w:rsid w:val="00332FC8"/>
    <w:rsid w:val="0033314E"/>
    <w:rsid w:val="003337C3"/>
    <w:rsid w:val="00334181"/>
    <w:rsid w:val="0033489F"/>
    <w:rsid w:val="00334C11"/>
    <w:rsid w:val="00334CEB"/>
    <w:rsid w:val="003352A7"/>
    <w:rsid w:val="00335B44"/>
    <w:rsid w:val="00335FE9"/>
    <w:rsid w:val="003409A7"/>
    <w:rsid w:val="00341756"/>
    <w:rsid w:val="00341812"/>
    <w:rsid w:val="00341E84"/>
    <w:rsid w:val="00341FCE"/>
    <w:rsid w:val="00342588"/>
    <w:rsid w:val="00342E2C"/>
    <w:rsid w:val="00343045"/>
    <w:rsid w:val="00343D7F"/>
    <w:rsid w:val="0034429A"/>
    <w:rsid w:val="00344300"/>
    <w:rsid w:val="00344D51"/>
    <w:rsid w:val="00344E97"/>
    <w:rsid w:val="0034504D"/>
    <w:rsid w:val="00345885"/>
    <w:rsid w:val="00345E3B"/>
    <w:rsid w:val="00346460"/>
    <w:rsid w:val="00346520"/>
    <w:rsid w:val="00347552"/>
    <w:rsid w:val="003501E9"/>
    <w:rsid w:val="003519AE"/>
    <w:rsid w:val="00351E31"/>
    <w:rsid w:val="00351E50"/>
    <w:rsid w:val="0035353B"/>
    <w:rsid w:val="00353C45"/>
    <w:rsid w:val="003546F6"/>
    <w:rsid w:val="003552EC"/>
    <w:rsid w:val="003553A3"/>
    <w:rsid w:val="0035554B"/>
    <w:rsid w:val="00355A7E"/>
    <w:rsid w:val="00356349"/>
    <w:rsid w:val="003567A0"/>
    <w:rsid w:val="003567C0"/>
    <w:rsid w:val="00356D5E"/>
    <w:rsid w:val="00357A4B"/>
    <w:rsid w:val="00357E5B"/>
    <w:rsid w:val="00360AA5"/>
    <w:rsid w:val="00361246"/>
    <w:rsid w:val="003618D0"/>
    <w:rsid w:val="00361A4A"/>
    <w:rsid w:val="00361BAF"/>
    <w:rsid w:val="003621A4"/>
    <w:rsid w:val="003622F9"/>
    <w:rsid w:val="003623CE"/>
    <w:rsid w:val="00362629"/>
    <w:rsid w:val="0036269A"/>
    <w:rsid w:val="00362877"/>
    <w:rsid w:val="00362937"/>
    <w:rsid w:val="003633B8"/>
    <w:rsid w:val="00363DB0"/>
    <w:rsid w:val="00364911"/>
    <w:rsid w:val="00365708"/>
    <w:rsid w:val="00365766"/>
    <w:rsid w:val="00365C7A"/>
    <w:rsid w:val="00365EBE"/>
    <w:rsid w:val="003660DE"/>
    <w:rsid w:val="0037042D"/>
    <w:rsid w:val="003709E0"/>
    <w:rsid w:val="00371977"/>
    <w:rsid w:val="00371FD7"/>
    <w:rsid w:val="0037220B"/>
    <w:rsid w:val="00372A32"/>
    <w:rsid w:val="00372AEC"/>
    <w:rsid w:val="00373086"/>
    <w:rsid w:val="00373A15"/>
    <w:rsid w:val="00373CA9"/>
    <w:rsid w:val="00374261"/>
    <w:rsid w:val="003743D5"/>
    <w:rsid w:val="003755CC"/>
    <w:rsid w:val="003758F9"/>
    <w:rsid w:val="00375BEA"/>
    <w:rsid w:val="00375CEE"/>
    <w:rsid w:val="0037609B"/>
    <w:rsid w:val="00376C42"/>
    <w:rsid w:val="00376D55"/>
    <w:rsid w:val="00377092"/>
    <w:rsid w:val="003772E3"/>
    <w:rsid w:val="00377ED9"/>
    <w:rsid w:val="00377FE2"/>
    <w:rsid w:val="003802A4"/>
    <w:rsid w:val="003802C3"/>
    <w:rsid w:val="0038044F"/>
    <w:rsid w:val="00380679"/>
    <w:rsid w:val="00380B2A"/>
    <w:rsid w:val="00380BC4"/>
    <w:rsid w:val="00380FCB"/>
    <w:rsid w:val="0038101D"/>
    <w:rsid w:val="00381342"/>
    <w:rsid w:val="00381DF0"/>
    <w:rsid w:val="00381E0E"/>
    <w:rsid w:val="003829D5"/>
    <w:rsid w:val="00382C21"/>
    <w:rsid w:val="00382C33"/>
    <w:rsid w:val="00382FE0"/>
    <w:rsid w:val="00382FEF"/>
    <w:rsid w:val="003830AC"/>
    <w:rsid w:val="00383F56"/>
    <w:rsid w:val="003840F1"/>
    <w:rsid w:val="003848C1"/>
    <w:rsid w:val="00385659"/>
    <w:rsid w:val="003858A1"/>
    <w:rsid w:val="00385D49"/>
    <w:rsid w:val="003863F1"/>
    <w:rsid w:val="00386CCE"/>
    <w:rsid w:val="00386EB3"/>
    <w:rsid w:val="00386F49"/>
    <w:rsid w:val="0038717E"/>
    <w:rsid w:val="00387244"/>
    <w:rsid w:val="003872A7"/>
    <w:rsid w:val="00387820"/>
    <w:rsid w:val="00387959"/>
    <w:rsid w:val="00387E2D"/>
    <w:rsid w:val="00390AF4"/>
    <w:rsid w:val="00391119"/>
    <w:rsid w:val="003921BC"/>
    <w:rsid w:val="00393472"/>
    <w:rsid w:val="003935B2"/>
    <w:rsid w:val="003938B5"/>
    <w:rsid w:val="00394524"/>
    <w:rsid w:val="00394F8E"/>
    <w:rsid w:val="00395D7E"/>
    <w:rsid w:val="003963D0"/>
    <w:rsid w:val="003963D2"/>
    <w:rsid w:val="00397D87"/>
    <w:rsid w:val="00397E4B"/>
    <w:rsid w:val="003A01B0"/>
    <w:rsid w:val="003A1322"/>
    <w:rsid w:val="003A181D"/>
    <w:rsid w:val="003A23D9"/>
    <w:rsid w:val="003A2B10"/>
    <w:rsid w:val="003A2F64"/>
    <w:rsid w:val="003A33C8"/>
    <w:rsid w:val="003A396C"/>
    <w:rsid w:val="003A3B1A"/>
    <w:rsid w:val="003A4343"/>
    <w:rsid w:val="003A43E9"/>
    <w:rsid w:val="003A46B6"/>
    <w:rsid w:val="003A47CC"/>
    <w:rsid w:val="003A7AE8"/>
    <w:rsid w:val="003A7BB0"/>
    <w:rsid w:val="003A7CCA"/>
    <w:rsid w:val="003B0A90"/>
    <w:rsid w:val="003B0F01"/>
    <w:rsid w:val="003B23D1"/>
    <w:rsid w:val="003B2A11"/>
    <w:rsid w:val="003B2C12"/>
    <w:rsid w:val="003B2F0C"/>
    <w:rsid w:val="003B3BDA"/>
    <w:rsid w:val="003B3C8A"/>
    <w:rsid w:val="003B4447"/>
    <w:rsid w:val="003B468F"/>
    <w:rsid w:val="003B4ECB"/>
    <w:rsid w:val="003B52F7"/>
    <w:rsid w:val="003B554F"/>
    <w:rsid w:val="003B57A9"/>
    <w:rsid w:val="003B736C"/>
    <w:rsid w:val="003B752E"/>
    <w:rsid w:val="003B7A52"/>
    <w:rsid w:val="003B7A73"/>
    <w:rsid w:val="003B7A84"/>
    <w:rsid w:val="003B7C1E"/>
    <w:rsid w:val="003C017E"/>
    <w:rsid w:val="003C06D3"/>
    <w:rsid w:val="003C0DBC"/>
    <w:rsid w:val="003C140E"/>
    <w:rsid w:val="003C1A2D"/>
    <w:rsid w:val="003C1DC6"/>
    <w:rsid w:val="003C1E65"/>
    <w:rsid w:val="003C1FD0"/>
    <w:rsid w:val="003C215D"/>
    <w:rsid w:val="003C249A"/>
    <w:rsid w:val="003C4AC5"/>
    <w:rsid w:val="003C4E23"/>
    <w:rsid w:val="003C4EA3"/>
    <w:rsid w:val="003C4F2A"/>
    <w:rsid w:val="003C51C6"/>
    <w:rsid w:val="003C599D"/>
    <w:rsid w:val="003C68C5"/>
    <w:rsid w:val="003C7A21"/>
    <w:rsid w:val="003C7C17"/>
    <w:rsid w:val="003D03B0"/>
    <w:rsid w:val="003D1116"/>
    <w:rsid w:val="003D127C"/>
    <w:rsid w:val="003D1707"/>
    <w:rsid w:val="003D27B2"/>
    <w:rsid w:val="003D2E4B"/>
    <w:rsid w:val="003D3095"/>
    <w:rsid w:val="003D46B6"/>
    <w:rsid w:val="003D4B50"/>
    <w:rsid w:val="003D4D48"/>
    <w:rsid w:val="003D5F91"/>
    <w:rsid w:val="003D7A31"/>
    <w:rsid w:val="003E0438"/>
    <w:rsid w:val="003E1514"/>
    <w:rsid w:val="003E1611"/>
    <w:rsid w:val="003E2BF5"/>
    <w:rsid w:val="003E3009"/>
    <w:rsid w:val="003E31A4"/>
    <w:rsid w:val="003E3910"/>
    <w:rsid w:val="003E4810"/>
    <w:rsid w:val="003E4AB1"/>
    <w:rsid w:val="003E4F96"/>
    <w:rsid w:val="003E5134"/>
    <w:rsid w:val="003E531F"/>
    <w:rsid w:val="003E558D"/>
    <w:rsid w:val="003E5983"/>
    <w:rsid w:val="003E5A67"/>
    <w:rsid w:val="003E6172"/>
    <w:rsid w:val="003E6C26"/>
    <w:rsid w:val="003E7538"/>
    <w:rsid w:val="003E7A13"/>
    <w:rsid w:val="003E7DBD"/>
    <w:rsid w:val="003F02C2"/>
    <w:rsid w:val="003F073F"/>
    <w:rsid w:val="003F0765"/>
    <w:rsid w:val="003F08B2"/>
    <w:rsid w:val="003F2581"/>
    <w:rsid w:val="003F2EA2"/>
    <w:rsid w:val="003F30F0"/>
    <w:rsid w:val="003F32B4"/>
    <w:rsid w:val="003F415C"/>
    <w:rsid w:val="003F5159"/>
    <w:rsid w:val="003F6B0B"/>
    <w:rsid w:val="003F6DFC"/>
    <w:rsid w:val="003F763F"/>
    <w:rsid w:val="003F785F"/>
    <w:rsid w:val="00400157"/>
    <w:rsid w:val="00400C25"/>
    <w:rsid w:val="00400EC0"/>
    <w:rsid w:val="0040130B"/>
    <w:rsid w:val="0040140C"/>
    <w:rsid w:val="00401687"/>
    <w:rsid w:val="00401ED0"/>
    <w:rsid w:val="00402356"/>
    <w:rsid w:val="00403446"/>
    <w:rsid w:val="0040367C"/>
    <w:rsid w:val="00403A6A"/>
    <w:rsid w:val="00403FA1"/>
    <w:rsid w:val="00404B26"/>
    <w:rsid w:val="004052C5"/>
    <w:rsid w:val="00405EFD"/>
    <w:rsid w:val="00406775"/>
    <w:rsid w:val="00406853"/>
    <w:rsid w:val="00407DEC"/>
    <w:rsid w:val="00407FC5"/>
    <w:rsid w:val="00410EFA"/>
    <w:rsid w:val="00411013"/>
    <w:rsid w:val="0041285F"/>
    <w:rsid w:val="0041355A"/>
    <w:rsid w:val="004137A2"/>
    <w:rsid w:val="00413E2B"/>
    <w:rsid w:val="004148E6"/>
    <w:rsid w:val="0041549A"/>
    <w:rsid w:val="00415A07"/>
    <w:rsid w:val="00416020"/>
    <w:rsid w:val="004160DA"/>
    <w:rsid w:val="0041710B"/>
    <w:rsid w:val="004176EC"/>
    <w:rsid w:val="0042207B"/>
    <w:rsid w:val="00423C12"/>
    <w:rsid w:val="00424C42"/>
    <w:rsid w:val="00425572"/>
    <w:rsid w:val="00425594"/>
    <w:rsid w:val="00426A19"/>
    <w:rsid w:val="00430B17"/>
    <w:rsid w:val="00430CA6"/>
    <w:rsid w:val="00430E57"/>
    <w:rsid w:val="004310C7"/>
    <w:rsid w:val="00431246"/>
    <w:rsid w:val="0043261D"/>
    <w:rsid w:val="004326D3"/>
    <w:rsid w:val="00433B46"/>
    <w:rsid w:val="004342AD"/>
    <w:rsid w:val="004342C9"/>
    <w:rsid w:val="00435216"/>
    <w:rsid w:val="004353CF"/>
    <w:rsid w:val="00435B78"/>
    <w:rsid w:val="00435C54"/>
    <w:rsid w:val="00435F29"/>
    <w:rsid w:val="0043631F"/>
    <w:rsid w:val="0043701A"/>
    <w:rsid w:val="004373EE"/>
    <w:rsid w:val="00437439"/>
    <w:rsid w:val="00437D60"/>
    <w:rsid w:val="00440D27"/>
    <w:rsid w:val="00440E8D"/>
    <w:rsid w:val="0044113C"/>
    <w:rsid w:val="004413E5"/>
    <w:rsid w:val="00441902"/>
    <w:rsid w:val="00441C6C"/>
    <w:rsid w:val="0044210D"/>
    <w:rsid w:val="00442F80"/>
    <w:rsid w:val="00443000"/>
    <w:rsid w:val="00443C73"/>
    <w:rsid w:val="0044505F"/>
    <w:rsid w:val="00445532"/>
    <w:rsid w:val="00445819"/>
    <w:rsid w:val="00445AE2"/>
    <w:rsid w:val="00445B1A"/>
    <w:rsid w:val="004465A4"/>
    <w:rsid w:val="00446652"/>
    <w:rsid w:val="00447D98"/>
    <w:rsid w:val="0045063C"/>
    <w:rsid w:val="0045193C"/>
    <w:rsid w:val="004519E7"/>
    <w:rsid w:val="00451B3E"/>
    <w:rsid w:val="004525CE"/>
    <w:rsid w:val="0045282A"/>
    <w:rsid w:val="00452889"/>
    <w:rsid w:val="004528DE"/>
    <w:rsid w:val="0045310F"/>
    <w:rsid w:val="0045441F"/>
    <w:rsid w:val="0045552E"/>
    <w:rsid w:val="00455BEE"/>
    <w:rsid w:val="00456588"/>
    <w:rsid w:val="00456919"/>
    <w:rsid w:val="00457875"/>
    <w:rsid w:val="00460307"/>
    <w:rsid w:val="00460D96"/>
    <w:rsid w:val="004617F3"/>
    <w:rsid w:val="00461DAF"/>
    <w:rsid w:val="004625AE"/>
    <w:rsid w:val="004628B9"/>
    <w:rsid w:val="00462BA5"/>
    <w:rsid w:val="00462D1D"/>
    <w:rsid w:val="00463225"/>
    <w:rsid w:val="00463E25"/>
    <w:rsid w:val="0046518B"/>
    <w:rsid w:val="004678DF"/>
    <w:rsid w:val="00467B17"/>
    <w:rsid w:val="00470EA1"/>
    <w:rsid w:val="00471282"/>
    <w:rsid w:val="00471439"/>
    <w:rsid w:val="00471B3F"/>
    <w:rsid w:val="00471FBC"/>
    <w:rsid w:val="004729B5"/>
    <w:rsid w:val="00472D91"/>
    <w:rsid w:val="00473708"/>
    <w:rsid w:val="00473E60"/>
    <w:rsid w:val="00473FEA"/>
    <w:rsid w:val="004744BA"/>
    <w:rsid w:val="00474760"/>
    <w:rsid w:val="00475165"/>
    <w:rsid w:val="00475885"/>
    <w:rsid w:val="00475A58"/>
    <w:rsid w:val="004763C6"/>
    <w:rsid w:val="00476667"/>
    <w:rsid w:val="00480015"/>
    <w:rsid w:val="0048020D"/>
    <w:rsid w:val="0048026B"/>
    <w:rsid w:val="004805F5"/>
    <w:rsid w:val="004823CF"/>
    <w:rsid w:val="00482F56"/>
    <w:rsid w:val="00483B91"/>
    <w:rsid w:val="00483EA5"/>
    <w:rsid w:val="004846AC"/>
    <w:rsid w:val="0048515C"/>
    <w:rsid w:val="004853D3"/>
    <w:rsid w:val="0048541D"/>
    <w:rsid w:val="004858D3"/>
    <w:rsid w:val="004858EE"/>
    <w:rsid w:val="004861B6"/>
    <w:rsid w:val="0048621D"/>
    <w:rsid w:val="004864E4"/>
    <w:rsid w:val="00487320"/>
    <w:rsid w:val="0048769B"/>
    <w:rsid w:val="004905B5"/>
    <w:rsid w:val="00490929"/>
    <w:rsid w:val="00490AA7"/>
    <w:rsid w:val="00490CD8"/>
    <w:rsid w:val="0049179C"/>
    <w:rsid w:val="00492414"/>
    <w:rsid w:val="00492CA5"/>
    <w:rsid w:val="00492D91"/>
    <w:rsid w:val="0049338C"/>
    <w:rsid w:val="004934BA"/>
    <w:rsid w:val="00493B3D"/>
    <w:rsid w:val="00494162"/>
    <w:rsid w:val="00495593"/>
    <w:rsid w:val="00495D64"/>
    <w:rsid w:val="00495DFE"/>
    <w:rsid w:val="00496682"/>
    <w:rsid w:val="00496A38"/>
    <w:rsid w:val="0049716A"/>
    <w:rsid w:val="00497233"/>
    <w:rsid w:val="00497EB1"/>
    <w:rsid w:val="004A0A3B"/>
    <w:rsid w:val="004A0C2B"/>
    <w:rsid w:val="004A10E3"/>
    <w:rsid w:val="004A2A25"/>
    <w:rsid w:val="004A30C5"/>
    <w:rsid w:val="004A33F2"/>
    <w:rsid w:val="004A390E"/>
    <w:rsid w:val="004A3E14"/>
    <w:rsid w:val="004A424C"/>
    <w:rsid w:val="004A4E2B"/>
    <w:rsid w:val="004A5310"/>
    <w:rsid w:val="004A58C1"/>
    <w:rsid w:val="004A5AA1"/>
    <w:rsid w:val="004A5E15"/>
    <w:rsid w:val="004A65EA"/>
    <w:rsid w:val="004A6A9A"/>
    <w:rsid w:val="004A7324"/>
    <w:rsid w:val="004A75B8"/>
    <w:rsid w:val="004A75C0"/>
    <w:rsid w:val="004A764F"/>
    <w:rsid w:val="004A7E6B"/>
    <w:rsid w:val="004B0DAB"/>
    <w:rsid w:val="004B1B25"/>
    <w:rsid w:val="004B20DB"/>
    <w:rsid w:val="004B2DC6"/>
    <w:rsid w:val="004B3D91"/>
    <w:rsid w:val="004B4482"/>
    <w:rsid w:val="004B49BF"/>
    <w:rsid w:val="004B58C2"/>
    <w:rsid w:val="004B5CCC"/>
    <w:rsid w:val="004B63A5"/>
    <w:rsid w:val="004B7893"/>
    <w:rsid w:val="004C0033"/>
    <w:rsid w:val="004C0FBE"/>
    <w:rsid w:val="004C14B6"/>
    <w:rsid w:val="004C192D"/>
    <w:rsid w:val="004C1FE5"/>
    <w:rsid w:val="004C2D20"/>
    <w:rsid w:val="004C364B"/>
    <w:rsid w:val="004C5244"/>
    <w:rsid w:val="004C608E"/>
    <w:rsid w:val="004C67E3"/>
    <w:rsid w:val="004D00A2"/>
    <w:rsid w:val="004D0785"/>
    <w:rsid w:val="004D08E6"/>
    <w:rsid w:val="004D163F"/>
    <w:rsid w:val="004D1964"/>
    <w:rsid w:val="004D2BD4"/>
    <w:rsid w:val="004D2D4F"/>
    <w:rsid w:val="004D2E21"/>
    <w:rsid w:val="004D2E3E"/>
    <w:rsid w:val="004D3D97"/>
    <w:rsid w:val="004D4DC9"/>
    <w:rsid w:val="004D5202"/>
    <w:rsid w:val="004D62E2"/>
    <w:rsid w:val="004D6F4A"/>
    <w:rsid w:val="004D78FA"/>
    <w:rsid w:val="004D7C7D"/>
    <w:rsid w:val="004E0A10"/>
    <w:rsid w:val="004E103B"/>
    <w:rsid w:val="004E11EC"/>
    <w:rsid w:val="004E1A1D"/>
    <w:rsid w:val="004E1CCD"/>
    <w:rsid w:val="004E3591"/>
    <w:rsid w:val="004E3619"/>
    <w:rsid w:val="004E37F7"/>
    <w:rsid w:val="004E40E2"/>
    <w:rsid w:val="004E4157"/>
    <w:rsid w:val="004E4646"/>
    <w:rsid w:val="004E4B70"/>
    <w:rsid w:val="004E4BC1"/>
    <w:rsid w:val="004E52A5"/>
    <w:rsid w:val="004E59BA"/>
    <w:rsid w:val="004E59E1"/>
    <w:rsid w:val="004E5B61"/>
    <w:rsid w:val="004E5F65"/>
    <w:rsid w:val="004E6461"/>
    <w:rsid w:val="004E6B25"/>
    <w:rsid w:val="004E6FE5"/>
    <w:rsid w:val="004E7845"/>
    <w:rsid w:val="004E7D49"/>
    <w:rsid w:val="004F15A0"/>
    <w:rsid w:val="004F163B"/>
    <w:rsid w:val="004F1A98"/>
    <w:rsid w:val="004F1F92"/>
    <w:rsid w:val="004F2676"/>
    <w:rsid w:val="004F2720"/>
    <w:rsid w:val="004F2842"/>
    <w:rsid w:val="004F427F"/>
    <w:rsid w:val="004F46FF"/>
    <w:rsid w:val="004F5FF0"/>
    <w:rsid w:val="004F640F"/>
    <w:rsid w:val="004F64B3"/>
    <w:rsid w:val="004F699C"/>
    <w:rsid w:val="004F70C3"/>
    <w:rsid w:val="005004C7"/>
    <w:rsid w:val="00500A81"/>
    <w:rsid w:val="005013EA"/>
    <w:rsid w:val="00501D61"/>
    <w:rsid w:val="0050206E"/>
    <w:rsid w:val="00502426"/>
    <w:rsid w:val="00503BB5"/>
    <w:rsid w:val="005047C4"/>
    <w:rsid w:val="00504A68"/>
    <w:rsid w:val="00504F0F"/>
    <w:rsid w:val="005052ED"/>
    <w:rsid w:val="00505423"/>
    <w:rsid w:val="005061FC"/>
    <w:rsid w:val="005064EC"/>
    <w:rsid w:val="0050667C"/>
    <w:rsid w:val="0050686F"/>
    <w:rsid w:val="00506920"/>
    <w:rsid w:val="005108D1"/>
    <w:rsid w:val="00510D8B"/>
    <w:rsid w:val="0051123D"/>
    <w:rsid w:val="0051128C"/>
    <w:rsid w:val="00511729"/>
    <w:rsid w:val="00511985"/>
    <w:rsid w:val="00511A90"/>
    <w:rsid w:val="00511B1B"/>
    <w:rsid w:val="0051209F"/>
    <w:rsid w:val="005128A5"/>
    <w:rsid w:val="005130C4"/>
    <w:rsid w:val="0051319C"/>
    <w:rsid w:val="0051360D"/>
    <w:rsid w:val="00514E9C"/>
    <w:rsid w:val="0051538F"/>
    <w:rsid w:val="00515CB1"/>
    <w:rsid w:val="00516813"/>
    <w:rsid w:val="005169AC"/>
    <w:rsid w:val="00516E99"/>
    <w:rsid w:val="00517BA6"/>
    <w:rsid w:val="00517C11"/>
    <w:rsid w:val="0052025C"/>
    <w:rsid w:val="0052162A"/>
    <w:rsid w:val="0052199B"/>
    <w:rsid w:val="00522339"/>
    <w:rsid w:val="0052250D"/>
    <w:rsid w:val="005226CF"/>
    <w:rsid w:val="005232B5"/>
    <w:rsid w:val="00523739"/>
    <w:rsid w:val="00524076"/>
    <w:rsid w:val="0052499B"/>
    <w:rsid w:val="005257B5"/>
    <w:rsid w:val="00525C2D"/>
    <w:rsid w:val="00525D08"/>
    <w:rsid w:val="005265C9"/>
    <w:rsid w:val="00526CBE"/>
    <w:rsid w:val="00527410"/>
    <w:rsid w:val="0053034D"/>
    <w:rsid w:val="005303DF"/>
    <w:rsid w:val="005317A1"/>
    <w:rsid w:val="005324C2"/>
    <w:rsid w:val="00532538"/>
    <w:rsid w:val="00532D21"/>
    <w:rsid w:val="005330E9"/>
    <w:rsid w:val="0053456B"/>
    <w:rsid w:val="0053490D"/>
    <w:rsid w:val="005349DF"/>
    <w:rsid w:val="0053579C"/>
    <w:rsid w:val="00535847"/>
    <w:rsid w:val="00535910"/>
    <w:rsid w:val="00535D50"/>
    <w:rsid w:val="00536157"/>
    <w:rsid w:val="0053667E"/>
    <w:rsid w:val="005378B7"/>
    <w:rsid w:val="00537AF5"/>
    <w:rsid w:val="00540EE4"/>
    <w:rsid w:val="00540EEE"/>
    <w:rsid w:val="00541479"/>
    <w:rsid w:val="00541639"/>
    <w:rsid w:val="0054243B"/>
    <w:rsid w:val="0054253D"/>
    <w:rsid w:val="00543BFF"/>
    <w:rsid w:val="00543DB1"/>
    <w:rsid w:val="00543F18"/>
    <w:rsid w:val="005444AF"/>
    <w:rsid w:val="0054493E"/>
    <w:rsid w:val="00544A6F"/>
    <w:rsid w:val="00545257"/>
    <w:rsid w:val="005452FE"/>
    <w:rsid w:val="0054575B"/>
    <w:rsid w:val="00545898"/>
    <w:rsid w:val="00545D9A"/>
    <w:rsid w:val="005464EC"/>
    <w:rsid w:val="005474CE"/>
    <w:rsid w:val="00547ED5"/>
    <w:rsid w:val="005500CB"/>
    <w:rsid w:val="00550193"/>
    <w:rsid w:val="005502A1"/>
    <w:rsid w:val="00551383"/>
    <w:rsid w:val="00551539"/>
    <w:rsid w:val="0055347F"/>
    <w:rsid w:val="00553E02"/>
    <w:rsid w:val="005547D4"/>
    <w:rsid w:val="00554D54"/>
    <w:rsid w:val="005550DF"/>
    <w:rsid w:val="00555978"/>
    <w:rsid w:val="00556729"/>
    <w:rsid w:val="00557E8E"/>
    <w:rsid w:val="005603E3"/>
    <w:rsid w:val="00560A31"/>
    <w:rsid w:val="00560CC1"/>
    <w:rsid w:val="005614A7"/>
    <w:rsid w:val="005616B4"/>
    <w:rsid w:val="00561886"/>
    <w:rsid w:val="00561AF3"/>
    <w:rsid w:val="00561EA0"/>
    <w:rsid w:val="00561EDD"/>
    <w:rsid w:val="005626D2"/>
    <w:rsid w:val="005628CE"/>
    <w:rsid w:val="00563A08"/>
    <w:rsid w:val="00564471"/>
    <w:rsid w:val="00564F18"/>
    <w:rsid w:val="00565F80"/>
    <w:rsid w:val="00566C35"/>
    <w:rsid w:val="00566D23"/>
    <w:rsid w:val="0057168F"/>
    <w:rsid w:val="005718E2"/>
    <w:rsid w:val="00571CFE"/>
    <w:rsid w:val="00572741"/>
    <w:rsid w:val="00572A89"/>
    <w:rsid w:val="00572C45"/>
    <w:rsid w:val="00573DBE"/>
    <w:rsid w:val="0057414B"/>
    <w:rsid w:val="00574E30"/>
    <w:rsid w:val="0057570C"/>
    <w:rsid w:val="00576439"/>
    <w:rsid w:val="005764C1"/>
    <w:rsid w:val="005766D2"/>
    <w:rsid w:val="00576CDB"/>
    <w:rsid w:val="00576DCE"/>
    <w:rsid w:val="00576ECD"/>
    <w:rsid w:val="00577250"/>
    <w:rsid w:val="005775B4"/>
    <w:rsid w:val="00577BAD"/>
    <w:rsid w:val="00577ECB"/>
    <w:rsid w:val="0058043D"/>
    <w:rsid w:val="00580499"/>
    <w:rsid w:val="005806A9"/>
    <w:rsid w:val="00580E45"/>
    <w:rsid w:val="00580FE2"/>
    <w:rsid w:val="005810B3"/>
    <w:rsid w:val="00582E48"/>
    <w:rsid w:val="0058341D"/>
    <w:rsid w:val="0058383A"/>
    <w:rsid w:val="00583ABC"/>
    <w:rsid w:val="00583C01"/>
    <w:rsid w:val="005847F0"/>
    <w:rsid w:val="00584993"/>
    <w:rsid w:val="0058540B"/>
    <w:rsid w:val="00585554"/>
    <w:rsid w:val="00585C0F"/>
    <w:rsid w:val="0058734D"/>
    <w:rsid w:val="0059076A"/>
    <w:rsid w:val="00590E5F"/>
    <w:rsid w:val="00590EDE"/>
    <w:rsid w:val="00591CBD"/>
    <w:rsid w:val="00591DB7"/>
    <w:rsid w:val="005922FA"/>
    <w:rsid w:val="00592D29"/>
    <w:rsid w:val="005930D3"/>
    <w:rsid w:val="0059364A"/>
    <w:rsid w:val="005942D9"/>
    <w:rsid w:val="00594E63"/>
    <w:rsid w:val="005956FF"/>
    <w:rsid w:val="005965C3"/>
    <w:rsid w:val="00597D59"/>
    <w:rsid w:val="00597FE2"/>
    <w:rsid w:val="005A01C9"/>
    <w:rsid w:val="005A07F2"/>
    <w:rsid w:val="005A10FA"/>
    <w:rsid w:val="005A1EA7"/>
    <w:rsid w:val="005A289A"/>
    <w:rsid w:val="005A2DF6"/>
    <w:rsid w:val="005A367F"/>
    <w:rsid w:val="005A3C03"/>
    <w:rsid w:val="005A3EC1"/>
    <w:rsid w:val="005A41C7"/>
    <w:rsid w:val="005A431F"/>
    <w:rsid w:val="005A49AD"/>
    <w:rsid w:val="005A4FD6"/>
    <w:rsid w:val="005A5552"/>
    <w:rsid w:val="005A5909"/>
    <w:rsid w:val="005A5D2C"/>
    <w:rsid w:val="005A61B8"/>
    <w:rsid w:val="005A745D"/>
    <w:rsid w:val="005B061C"/>
    <w:rsid w:val="005B0874"/>
    <w:rsid w:val="005B08A7"/>
    <w:rsid w:val="005B0972"/>
    <w:rsid w:val="005B0C73"/>
    <w:rsid w:val="005B13F0"/>
    <w:rsid w:val="005B23C5"/>
    <w:rsid w:val="005B2812"/>
    <w:rsid w:val="005B2D48"/>
    <w:rsid w:val="005B3926"/>
    <w:rsid w:val="005B3F7D"/>
    <w:rsid w:val="005B50CA"/>
    <w:rsid w:val="005B56B6"/>
    <w:rsid w:val="005B6858"/>
    <w:rsid w:val="005B7168"/>
    <w:rsid w:val="005B719F"/>
    <w:rsid w:val="005B7B43"/>
    <w:rsid w:val="005B7DD4"/>
    <w:rsid w:val="005C0594"/>
    <w:rsid w:val="005C0621"/>
    <w:rsid w:val="005C166E"/>
    <w:rsid w:val="005C207F"/>
    <w:rsid w:val="005C2D30"/>
    <w:rsid w:val="005C31C9"/>
    <w:rsid w:val="005C3FD4"/>
    <w:rsid w:val="005C409A"/>
    <w:rsid w:val="005C4BA8"/>
    <w:rsid w:val="005C5D49"/>
    <w:rsid w:val="005C5E98"/>
    <w:rsid w:val="005C6198"/>
    <w:rsid w:val="005C6831"/>
    <w:rsid w:val="005C68EE"/>
    <w:rsid w:val="005C6C23"/>
    <w:rsid w:val="005C6ECB"/>
    <w:rsid w:val="005C7E5A"/>
    <w:rsid w:val="005D0211"/>
    <w:rsid w:val="005D041E"/>
    <w:rsid w:val="005D0664"/>
    <w:rsid w:val="005D15FD"/>
    <w:rsid w:val="005D1ACB"/>
    <w:rsid w:val="005D1B97"/>
    <w:rsid w:val="005D209F"/>
    <w:rsid w:val="005D2686"/>
    <w:rsid w:val="005D2A31"/>
    <w:rsid w:val="005D2B14"/>
    <w:rsid w:val="005D3501"/>
    <w:rsid w:val="005D36DD"/>
    <w:rsid w:val="005D36F3"/>
    <w:rsid w:val="005D4237"/>
    <w:rsid w:val="005D45A6"/>
    <w:rsid w:val="005D475B"/>
    <w:rsid w:val="005D5243"/>
    <w:rsid w:val="005D5640"/>
    <w:rsid w:val="005D575A"/>
    <w:rsid w:val="005D5859"/>
    <w:rsid w:val="005D5F10"/>
    <w:rsid w:val="005D5F93"/>
    <w:rsid w:val="005D63A2"/>
    <w:rsid w:val="005D6738"/>
    <w:rsid w:val="005D6AF9"/>
    <w:rsid w:val="005D6E81"/>
    <w:rsid w:val="005D6E8E"/>
    <w:rsid w:val="005D7074"/>
    <w:rsid w:val="005D79E4"/>
    <w:rsid w:val="005E044D"/>
    <w:rsid w:val="005E0886"/>
    <w:rsid w:val="005E0C9E"/>
    <w:rsid w:val="005E1D22"/>
    <w:rsid w:val="005E2543"/>
    <w:rsid w:val="005E2655"/>
    <w:rsid w:val="005E27A5"/>
    <w:rsid w:val="005E342E"/>
    <w:rsid w:val="005E3525"/>
    <w:rsid w:val="005E3AB1"/>
    <w:rsid w:val="005E509B"/>
    <w:rsid w:val="005E5639"/>
    <w:rsid w:val="005E5C67"/>
    <w:rsid w:val="005E626C"/>
    <w:rsid w:val="005E6746"/>
    <w:rsid w:val="005E6B10"/>
    <w:rsid w:val="005E7B9E"/>
    <w:rsid w:val="005E7E6A"/>
    <w:rsid w:val="005F074E"/>
    <w:rsid w:val="005F0773"/>
    <w:rsid w:val="005F0796"/>
    <w:rsid w:val="005F0C44"/>
    <w:rsid w:val="005F110A"/>
    <w:rsid w:val="005F18AA"/>
    <w:rsid w:val="005F3178"/>
    <w:rsid w:val="005F3946"/>
    <w:rsid w:val="005F486B"/>
    <w:rsid w:val="005F4BCB"/>
    <w:rsid w:val="005F69A1"/>
    <w:rsid w:val="005F720F"/>
    <w:rsid w:val="005F7372"/>
    <w:rsid w:val="005F7B1A"/>
    <w:rsid w:val="00600499"/>
    <w:rsid w:val="006006D2"/>
    <w:rsid w:val="00600A7F"/>
    <w:rsid w:val="00601355"/>
    <w:rsid w:val="00602B45"/>
    <w:rsid w:val="00602BA5"/>
    <w:rsid w:val="00602DF5"/>
    <w:rsid w:val="006030A4"/>
    <w:rsid w:val="00603181"/>
    <w:rsid w:val="00603BE7"/>
    <w:rsid w:val="006049E4"/>
    <w:rsid w:val="0060542D"/>
    <w:rsid w:val="00605D63"/>
    <w:rsid w:val="00606B10"/>
    <w:rsid w:val="00606E31"/>
    <w:rsid w:val="00607220"/>
    <w:rsid w:val="00607AEE"/>
    <w:rsid w:val="006103D7"/>
    <w:rsid w:val="00610E8A"/>
    <w:rsid w:val="00611138"/>
    <w:rsid w:val="00611A37"/>
    <w:rsid w:val="00611ABB"/>
    <w:rsid w:val="0061245E"/>
    <w:rsid w:val="00613225"/>
    <w:rsid w:val="00613D2C"/>
    <w:rsid w:val="006148F0"/>
    <w:rsid w:val="006149E5"/>
    <w:rsid w:val="006159F5"/>
    <w:rsid w:val="00615B64"/>
    <w:rsid w:val="00615D9E"/>
    <w:rsid w:val="00615E62"/>
    <w:rsid w:val="006163A2"/>
    <w:rsid w:val="00616EAE"/>
    <w:rsid w:val="0061781F"/>
    <w:rsid w:val="00617C32"/>
    <w:rsid w:val="00617D95"/>
    <w:rsid w:val="00617E3D"/>
    <w:rsid w:val="00617FC9"/>
    <w:rsid w:val="00621066"/>
    <w:rsid w:val="00621730"/>
    <w:rsid w:val="00621BB2"/>
    <w:rsid w:val="00622116"/>
    <w:rsid w:val="00622C09"/>
    <w:rsid w:val="00622D05"/>
    <w:rsid w:val="0062318C"/>
    <w:rsid w:val="0062375A"/>
    <w:rsid w:val="00623A4E"/>
    <w:rsid w:val="00623BB5"/>
    <w:rsid w:val="00626439"/>
    <w:rsid w:val="00627280"/>
    <w:rsid w:val="006275AF"/>
    <w:rsid w:val="00627A07"/>
    <w:rsid w:val="00627BA6"/>
    <w:rsid w:val="00627ECB"/>
    <w:rsid w:val="006303D8"/>
    <w:rsid w:val="00630587"/>
    <w:rsid w:val="00630B08"/>
    <w:rsid w:val="00631432"/>
    <w:rsid w:val="00631CFB"/>
    <w:rsid w:val="0063219A"/>
    <w:rsid w:val="006322E5"/>
    <w:rsid w:val="0063259C"/>
    <w:rsid w:val="00632977"/>
    <w:rsid w:val="006329C3"/>
    <w:rsid w:val="00633339"/>
    <w:rsid w:val="00633802"/>
    <w:rsid w:val="00633DFE"/>
    <w:rsid w:val="006343E7"/>
    <w:rsid w:val="00634685"/>
    <w:rsid w:val="00634B26"/>
    <w:rsid w:val="006351AE"/>
    <w:rsid w:val="006361E2"/>
    <w:rsid w:val="00636357"/>
    <w:rsid w:val="0063666D"/>
    <w:rsid w:val="00636BA0"/>
    <w:rsid w:val="00636D86"/>
    <w:rsid w:val="00636F33"/>
    <w:rsid w:val="00637303"/>
    <w:rsid w:val="0063782A"/>
    <w:rsid w:val="00637D23"/>
    <w:rsid w:val="00640936"/>
    <w:rsid w:val="00641109"/>
    <w:rsid w:val="006413A6"/>
    <w:rsid w:val="00641859"/>
    <w:rsid w:val="006418D9"/>
    <w:rsid w:val="006418DF"/>
    <w:rsid w:val="00643296"/>
    <w:rsid w:val="00643D76"/>
    <w:rsid w:val="00644739"/>
    <w:rsid w:val="00644EF7"/>
    <w:rsid w:val="0064551A"/>
    <w:rsid w:val="006455BE"/>
    <w:rsid w:val="00645658"/>
    <w:rsid w:val="00645C24"/>
    <w:rsid w:val="00645E94"/>
    <w:rsid w:val="006461BA"/>
    <w:rsid w:val="00646259"/>
    <w:rsid w:val="006462A0"/>
    <w:rsid w:val="00646357"/>
    <w:rsid w:val="006502E7"/>
    <w:rsid w:val="00650302"/>
    <w:rsid w:val="006506CF"/>
    <w:rsid w:val="006506E2"/>
    <w:rsid w:val="00650DAB"/>
    <w:rsid w:val="00650E6E"/>
    <w:rsid w:val="0065139E"/>
    <w:rsid w:val="00651436"/>
    <w:rsid w:val="00652C9C"/>
    <w:rsid w:val="0065308D"/>
    <w:rsid w:val="006539C2"/>
    <w:rsid w:val="00653FF4"/>
    <w:rsid w:val="0065408E"/>
    <w:rsid w:val="006545ED"/>
    <w:rsid w:val="00654949"/>
    <w:rsid w:val="00655058"/>
    <w:rsid w:val="00655668"/>
    <w:rsid w:val="00655869"/>
    <w:rsid w:val="00655942"/>
    <w:rsid w:val="006560FD"/>
    <w:rsid w:val="0065628E"/>
    <w:rsid w:val="00656306"/>
    <w:rsid w:val="0065683A"/>
    <w:rsid w:val="0065718C"/>
    <w:rsid w:val="00657BE2"/>
    <w:rsid w:val="00660618"/>
    <w:rsid w:val="00660928"/>
    <w:rsid w:val="00660D5A"/>
    <w:rsid w:val="00662D12"/>
    <w:rsid w:val="00662DC1"/>
    <w:rsid w:val="0066329D"/>
    <w:rsid w:val="006637AA"/>
    <w:rsid w:val="00663911"/>
    <w:rsid w:val="00663F22"/>
    <w:rsid w:val="006640B4"/>
    <w:rsid w:val="006645DB"/>
    <w:rsid w:val="00664E11"/>
    <w:rsid w:val="00664F11"/>
    <w:rsid w:val="00664FA0"/>
    <w:rsid w:val="0066582A"/>
    <w:rsid w:val="00665D90"/>
    <w:rsid w:val="0066674A"/>
    <w:rsid w:val="0066769C"/>
    <w:rsid w:val="00667B4D"/>
    <w:rsid w:val="00670100"/>
    <w:rsid w:val="006709BE"/>
    <w:rsid w:val="0067152D"/>
    <w:rsid w:val="00671D5C"/>
    <w:rsid w:val="006722E6"/>
    <w:rsid w:val="00672791"/>
    <w:rsid w:val="00673AE4"/>
    <w:rsid w:val="00674539"/>
    <w:rsid w:val="006745B1"/>
    <w:rsid w:val="00674A86"/>
    <w:rsid w:val="006751FD"/>
    <w:rsid w:val="0067722A"/>
    <w:rsid w:val="0067745F"/>
    <w:rsid w:val="006779B2"/>
    <w:rsid w:val="00677EDC"/>
    <w:rsid w:val="00680767"/>
    <w:rsid w:val="00680870"/>
    <w:rsid w:val="00680DE8"/>
    <w:rsid w:val="00681173"/>
    <w:rsid w:val="006816FA"/>
    <w:rsid w:val="00681BE8"/>
    <w:rsid w:val="00682DDF"/>
    <w:rsid w:val="006835BC"/>
    <w:rsid w:val="00683670"/>
    <w:rsid w:val="00683BCD"/>
    <w:rsid w:val="00683E47"/>
    <w:rsid w:val="0068578D"/>
    <w:rsid w:val="006857F5"/>
    <w:rsid w:val="00685A80"/>
    <w:rsid w:val="00685D76"/>
    <w:rsid w:val="0068622B"/>
    <w:rsid w:val="00686EF1"/>
    <w:rsid w:val="006871F0"/>
    <w:rsid w:val="006876A5"/>
    <w:rsid w:val="006878E8"/>
    <w:rsid w:val="00687AB9"/>
    <w:rsid w:val="00687D2D"/>
    <w:rsid w:val="00687FF9"/>
    <w:rsid w:val="00690020"/>
    <w:rsid w:val="00690FF4"/>
    <w:rsid w:val="0069101B"/>
    <w:rsid w:val="00691878"/>
    <w:rsid w:val="00691C5D"/>
    <w:rsid w:val="0069247C"/>
    <w:rsid w:val="006927D2"/>
    <w:rsid w:val="00692E39"/>
    <w:rsid w:val="00692F45"/>
    <w:rsid w:val="00693132"/>
    <w:rsid w:val="006933C5"/>
    <w:rsid w:val="00694B03"/>
    <w:rsid w:val="00695110"/>
    <w:rsid w:val="0069537B"/>
    <w:rsid w:val="00695480"/>
    <w:rsid w:val="006959A2"/>
    <w:rsid w:val="006972DC"/>
    <w:rsid w:val="006A0654"/>
    <w:rsid w:val="006A06AC"/>
    <w:rsid w:val="006A1118"/>
    <w:rsid w:val="006A11A0"/>
    <w:rsid w:val="006A1E46"/>
    <w:rsid w:val="006A1EE4"/>
    <w:rsid w:val="006A33EA"/>
    <w:rsid w:val="006A39FF"/>
    <w:rsid w:val="006A44DA"/>
    <w:rsid w:val="006A4C41"/>
    <w:rsid w:val="006A5121"/>
    <w:rsid w:val="006A64C8"/>
    <w:rsid w:val="006A699F"/>
    <w:rsid w:val="006A7030"/>
    <w:rsid w:val="006A7D64"/>
    <w:rsid w:val="006B005C"/>
    <w:rsid w:val="006B09E9"/>
    <w:rsid w:val="006B0E03"/>
    <w:rsid w:val="006B10A4"/>
    <w:rsid w:val="006B11FC"/>
    <w:rsid w:val="006B1E0E"/>
    <w:rsid w:val="006B2692"/>
    <w:rsid w:val="006B3830"/>
    <w:rsid w:val="006B42A1"/>
    <w:rsid w:val="006B438B"/>
    <w:rsid w:val="006B59CD"/>
    <w:rsid w:val="006B635F"/>
    <w:rsid w:val="006B6641"/>
    <w:rsid w:val="006B708B"/>
    <w:rsid w:val="006B77A7"/>
    <w:rsid w:val="006B7848"/>
    <w:rsid w:val="006C034F"/>
    <w:rsid w:val="006C07FA"/>
    <w:rsid w:val="006C1218"/>
    <w:rsid w:val="006C1A4E"/>
    <w:rsid w:val="006C1EBF"/>
    <w:rsid w:val="006C21E7"/>
    <w:rsid w:val="006C2327"/>
    <w:rsid w:val="006C2973"/>
    <w:rsid w:val="006C2B9D"/>
    <w:rsid w:val="006C2CB8"/>
    <w:rsid w:val="006C37E5"/>
    <w:rsid w:val="006C4B66"/>
    <w:rsid w:val="006C50C0"/>
    <w:rsid w:val="006C50C8"/>
    <w:rsid w:val="006C5E44"/>
    <w:rsid w:val="006C6300"/>
    <w:rsid w:val="006C64B1"/>
    <w:rsid w:val="006C65FE"/>
    <w:rsid w:val="006D0EDD"/>
    <w:rsid w:val="006D0F07"/>
    <w:rsid w:val="006D239A"/>
    <w:rsid w:val="006D2BD6"/>
    <w:rsid w:val="006D2C16"/>
    <w:rsid w:val="006D3016"/>
    <w:rsid w:val="006D3103"/>
    <w:rsid w:val="006D38B3"/>
    <w:rsid w:val="006D402D"/>
    <w:rsid w:val="006D4A8E"/>
    <w:rsid w:val="006D4FB5"/>
    <w:rsid w:val="006D4FD1"/>
    <w:rsid w:val="006D5243"/>
    <w:rsid w:val="006D532E"/>
    <w:rsid w:val="006D615B"/>
    <w:rsid w:val="006D63B6"/>
    <w:rsid w:val="006D668F"/>
    <w:rsid w:val="006D670E"/>
    <w:rsid w:val="006D6F22"/>
    <w:rsid w:val="006D7CA8"/>
    <w:rsid w:val="006E0128"/>
    <w:rsid w:val="006E04A7"/>
    <w:rsid w:val="006E0DD5"/>
    <w:rsid w:val="006E34FF"/>
    <w:rsid w:val="006E3D45"/>
    <w:rsid w:val="006E440D"/>
    <w:rsid w:val="006E4CB2"/>
    <w:rsid w:val="006E4CDB"/>
    <w:rsid w:val="006E5496"/>
    <w:rsid w:val="006E5655"/>
    <w:rsid w:val="006E67D0"/>
    <w:rsid w:val="006E6DE4"/>
    <w:rsid w:val="006E7059"/>
    <w:rsid w:val="006E7987"/>
    <w:rsid w:val="006E7A63"/>
    <w:rsid w:val="006F0530"/>
    <w:rsid w:val="006F06E5"/>
    <w:rsid w:val="006F0F7A"/>
    <w:rsid w:val="006F107E"/>
    <w:rsid w:val="006F2010"/>
    <w:rsid w:val="006F28EC"/>
    <w:rsid w:val="006F2F09"/>
    <w:rsid w:val="006F2F5E"/>
    <w:rsid w:val="006F3372"/>
    <w:rsid w:val="006F3BE6"/>
    <w:rsid w:val="006F5156"/>
    <w:rsid w:val="006F57F3"/>
    <w:rsid w:val="006F58A3"/>
    <w:rsid w:val="006F6664"/>
    <w:rsid w:val="006F6F1A"/>
    <w:rsid w:val="006F7610"/>
    <w:rsid w:val="006F76DB"/>
    <w:rsid w:val="006F77A4"/>
    <w:rsid w:val="0070154B"/>
    <w:rsid w:val="00701984"/>
    <w:rsid w:val="0070267C"/>
    <w:rsid w:val="00702D3C"/>
    <w:rsid w:val="00702DE1"/>
    <w:rsid w:val="00704532"/>
    <w:rsid w:val="00704A76"/>
    <w:rsid w:val="00704B54"/>
    <w:rsid w:val="00704DF1"/>
    <w:rsid w:val="0070670E"/>
    <w:rsid w:val="0070685C"/>
    <w:rsid w:val="00706D03"/>
    <w:rsid w:val="00706FF6"/>
    <w:rsid w:val="00707611"/>
    <w:rsid w:val="007078AD"/>
    <w:rsid w:val="00707B61"/>
    <w:rsid w:val="00710245"/>
    <w:rsid w:val="007117EF"/>
    <w:rsid w:val="00711CE7"/>
    <w:rsid w:val="00711F0F"/>
    <w:rsid w:val="00712C41"/>
    <w:rsid w:val="007132EE"/>
    <w:rsid w:val="0071343E"/>
    <w:rsid w:val="00713D17"/>
    <w:rsid w:val="0071461B"/>
    <w:rsid w:val="007146E1"/>
    <w:rsid w:val="00714D0B"/>
    <w:rsid w:val="00715239"/>
    <w:rsid w:val="00715E34"/>
    <w:rsid w:val="007170BE"/>
    <w:rsid w:val="007175AD"/>
    <w:rsid w:val="00717A64"/>
    <w:rsid w:val="00717D74"/>
    <w:rsid w:val="007207A0"/>
    <w:rsid w:val="00721D90"/>
    <w:rsid w:val="00722334"/>
    <w:rsid w:val="00722641"/>
    <w:rsid w:val="00722D95"/>
    <w:rsid w:val="00724B50"/>
    <w:rsid w:val="007252A5"/>
    <w:rsid w:val="0072632C"/>
    <w:rsid w:val="00726603"/>
    <w:rsid w:val="00726708"/>
    <w:rsid w:val="0073055C"/>
    <w:rsid w:val="00730BEE"/>
    <w:rsid w:val="00731221"/>
    <w:rsid w:val="00731B6B"/>
    <w:rsid w:val="007329C1"/>
    <w:rsid w:val="00732EF0"/>
    <w:rsid w:val="00733627"/>
    <w:rsid w:val="007341B1"/>
    <w:rsid w:val="00734472"/>
    <w:rsid w:val="00734E92"/>
    <w:rsid w:val="0073511E"/>
    <w:rsid w:val="0073562D"/>
    <w:rsid w:val="0073582A"/>
    <w:rsid w:val="007360A8"/>
    <w:rsid w:val="007366EA"/>
    <w:rsid w:val="00736722"/>
    <w:rsid w:val="00736CFD"/>
    <w:rsid w:val="00737AA7"/>
    <w:rsid w:val="00740092"/>
    <w:rsid w:val="00740ED4"/>
    <w:rsid w:val="0074123E"/>
    <w:rsid w:val="00741900"/>
    <w:rsid w:val="007421BB"/>
    <w:rsid w:val="007427ED"/>
    <w:rsid w:val="00742B35"/>
    <w:rsid w:val="007433CC"/>
    <w:rsid w:val="007433E8"/>
    <w:rsid w:val="00744F9E"/>
    <w:rsid w:val="00745B0F"/>
    <w:rsid w:val="00745B5A"/>
    <w:rsid w:val="00746431"/>
    <w:rsid w:val="00746AC1"/>
    <w:rsid w:val="00746BB9"/>
    <w:rsid w:val="0074701D"/>
    <w:rsid w:val="00747112"/>
    <w:rsid w:val="0075018E"/>
    <w:rsid w:val="0075056D"/>
    <w:rsid w:val="00750E87"/>
    <w:rsid w:val="00752833"/>
    <w:rsid w:val="00752F1B"/>
    <w:rsid w:val="00752F6F"/>
    <w:rsid w:val="0075303A"/>
    <w:rsid w:val="00753A64"/>
    <w:rsid w:val="00754E54"/>
    <w:rsid w:val="00754E67"/>
    <w:rsid w:val="00755317"/>
    <w:rsid w:val="00755373"/>
    <w:rsid w:val="00755BAD"/>
    <w:rsid w:val="00756319"/>
    <w:rsid w:val="007563DE"/>
    <w:rsid w:val="00756552"/>
    <w:rsid w:val="00757353"/>
    <w:rsid w:val="00757CF3"/>
    <w:rsid w:val="00760FFD"/>
    <w:rsid w:val="00761129"/>
    <w:rsid w:val="00761175"/>
    <w:rsid w:val="00761C3F"/>
    <w:rsid w:val="00762126"/>
    <w:rsid w:val="007623E0"/>
    <w:rsid w:val="00762A6C"/>
    <w:rsid w:val="007633FC"/>
    <w:rsid w:val="00763DA5"/>
    <w:rsid w:val="00763DCC"/>
    <w:rsid w:val="00764D1B"/>
    <w:rsid w:val="0076507D"/>
    <w:rsid w:val="00765255"/>
    <w:rsid w:val="00765757"/>
    <w:rsid w:val="00766747"/>
    <w:rsid w:val="00766FAC"/>
    <w:rsid w:val="0076760A"/>
    <w:rsid w:val="00767C35"/>
    <w:rsid w:val="00767ECB"/>
    <w:rsid w:val="0077002C"/>
    <w:rsid w:val="0077103D"/>
    <w:rsid w:val="00771E05"/>
    <w:rsid w:val="007727FD"/>
    <w:rsid w:val="00772CA6"/>
    <w:rsid w:val="00773DBD"/>
    <w:rsid w:val="00773E00"/>
    <w:rsid w:val="00775814"/>
    <w:rsid w:val="00775A6E"/>
    <w:rsid w:val="00775DF5"/>
    <w:rsid w:val="0077600F"/>
    <w:rsid w:val="0077710A"/>
    <w:rsid w:val="0077714C"/>
    <w:rsid w:val="007773BC"/>
    <w:rsid w:val="007774CA"/>
    <w:rsid w:val="007776D0"/>
    <w:rsid w:val="00777E06"/>
    <w:rsid w:val="00777F63"/>
    <w:rsid w:val="00780293"/>
    <w:rsid w:val="00780DD6"/>
    <w:rsid w:val="0078104B"/>
    <w:rsid w:val="007812C2"/>
    <w:rsid w:val="007823B1"/>
    <w:rsid w:val="00782624"/>
    <w:rsid w:val="0078316D"/>
    <w:rsid w:val="00783198"/>
    <w:rsid w:val="00783ADF"/>
    <w:rsid w:val="00783E5B"/>
    <w:rsid w:val="00784618"/>
    <w:rsid w:val="007848F0"/>
    <w:rsid w:val="00785079"/>
    <w:rsid w:val="0078521C"/>
    <w:rsid w:val="00785496"/>
    <w:rsid w:val="00785E34"/>
    <w:rsid w:val="00786390"/>
    <w:rsid w:val="00786754"/>
    <w:rsid w:val="00786D86"/>
    <w:rsid w:val="00787584"/>
    <w:rsid w:val="007878D2"/>
    <w:rsid w:val="0078797E"/>
    <w:rsid w:val="00790B4D"/>
    <w:rsid w:val="007915B7"/>
    <w:rsid w:val="007929CC"/>
    <w:rsid w:val="00792D05"/>
    <w:rsid w:val="00792E4A"/>
    <w:rsid w:val="007936F4"/>
    <w:rsid w:val="0079435F"/>
    <w:rsid w:val="00794369"/>
    <w:rsid w:val="00794ED4"/>
    <w:rsid w:val="0079614A"/>
    <w:rsid w:val="00796771"/>
    <w:rsid w:val="00797050"/>
    <w:rsid w:val="00797809"/>
    <w:rsid w:val="0079790A"/>
    <w:rsid w:val="00797A29"/>
    <w:rsid w:val="007A01E8"/>
    <w:rsid w:val="007A0954"/>
    <w:rsid w:val="007A13CF"/>
    <w:rsid w:val="007A195F"/>
    <w:rsid w:val="007A3560"/>
    <w:rsid w:val="007A356D"/>
    <w:rsid w:val="007A3617"/>
    <w:rsid w:val="007A4212"/>
    <w:rsid w:val="007A585E"/>
    <w:rsid w:val="007A58A5"/>
    <w:rsid w:val="007A69E4"/>
    <w:rsid w:val="007A72EA"/>
    <w:rsid w:val="007A7356"/>
    <w:rsid w:val="007A7466"/>
    <w:rsid w:val="007A74E6"/>
    <w:rsid w:val="007A784E"/>
    <w:rsid w:val="007A7980"/>
    <w:rsid w:val="007B1A59"/>
    <w:rsid w:val="007B3856"/>
    <w:rsid w:val="007B3B3E"/>
    <w:rsid w:val="007B4B75"/>
    <w:rsid w:val="007B4CA7"/>
    <w:rsid w:val="007B4E5F"/>
    <w:rsid w:val="007B503C"/>
    <w:rsid w:val="007B5E20"/>
    <w:rsid w:val="007B7B7C"/>
    <w:rsid w:val="007B7F37"/>
    <w:rsid w:val="007C022E"/>
    <w:rsid w:val="007C1B65"/>
    <w:rsid w:val="007C2007"/>
    <w:rsid w:val="007C22BE"/>
    <w:rsid w:val="007C3BA5"/>
    <w:rsid w:val="007C3CA1"/>
    <w:rsid w:val="007C5515"/>
    <w:rsid w:val="007C667D"/>
    <w:rsid w:val="007C676B"/>
    <w:rsid w:val="007C6F5B"/>
    <w:rsid w:val="007D0699"/>
    <w:rsid w:val="007D0B66"/>
    <w:rsid w:val="007D0D4A"/>
    <w:rsid w:val="007D1704"/>
    <w:rsid w:val="007D2451"/>
    <w:rsid w:val="007D29FE"/>
    <w:rsid w:val="007D356D"/>
    <w:rsid w:val="007D40EE"/>
    <w:rsid w:val="007D4F28"/>
    <w:rsid w:val="007D4F3E"/>
    <w:rsid w:val="007D5083"/>
    <w:rsid w:val="007D51DA"/>
    <w:rsid w:val="007D58B0"/>
    <w:rsid w:val="007D5991"/>
    <w:rsid w:val="007D59AB"/>
    <w:rsid w:val="007D64C4"/>
    <w:rsid w:val="007D6CB2"/>
    <w:rsid w:val="007D71F7"/>
    <w:rsid w:val="007D7EC2"/>
    <w:rsid w:val="007D7FE6"/>
    <w:rsid w:val="007E0DB9"/>
    <w:rsid w:val="007E15BF"/>
    <w:rsid w:val="007E26CF"/>
    <w:rsid w:val="007E28FB"/>
    <w:rsid w:val="007E2FB5"/>
    <w:rsid w:val="007E3B65"/>
    <w:rsid w:val="007E41F0"/>
    <w:rsid w:val="007E45DF"/>
    <w:rsid w:val="007E46EA"/>
    <w:rsid w:val="007E589C"/>
    <w:rsid w:val="007E5D53"/>
    <w:rsid w:val="007E6928"/>
    <w:rsid w:val="007E6C65"/>
    <w:rsid w:val="007E72D2"/>
    <w:rsid w:val="007F05F0"/>
    <w:rsid w:val="007F1793"/>
    <w:rsid w:val="007F1AF6"/>
    <w:rsid w:val="007F1E3B"/>
    <w:rsid w:val="007F27B4"/>
    <w:rsid w:val="007F2966"/>
    <w:rsid w:val="007F2CF7"/>
    <w:rsid w:val="007F408D"/>
    <w:rsid w:val="007F43BA"/>
    <w:rsid w:val="007F4820"/>
    <w:rsid w:val="007F484C"/>
    <w:rsid w:val="007F537B"/>
    <w:rsid w:val="007F5C80"/>
    <w:rsid w:val="007F61AF"/>
    <w:rsid w:val="007F61F9"/>
    <w:rsid w:val="007F7237"/>
    <w:rsid w:val="007F74A3"/>
    <w:rsid w:val="008000A1"/>
    <w:rsid w:val="00800910"/>
    <w:rsid w:val="00800F98"/>
    <w:rsid w:val="008013AD"/>
    <w:rsid w:val="00801517"/>
    <w:rsid w:val="008018EB"/>
    <w:rsid w:val="00801D79"/>
    <w:rsid w:val="0080208A"/>
    <w:rsid w:val="008028A3"/>
    <w:rsid w:val="008028E6"/>
    <w:rsid w:val="00802D04"/>
    <w:rsid w:val="00803E03"/>
    <w:rsid w:val="0080412A"/>
    <w:rsid w:val="008054DD"/>
    <w:rsid w:val="008066F5"/>
    <w:rsid w:val="00806736"/>
    <w:rsid w:val="00806CB2"/>
    <w:rsid w:val="00806F8B"/>
    <w:rsid w:val="00807473"/>
    <w:rsid w:val="00807ADF"/>
    <w:rsid w:val="00807C2C"/>
    <w:rsid w:val="008105DD"/>
    <w:rsid w:val="00810946"/>
    <w:rsid w:val="00811D3C"/>
    <w:rsid w:val="00811FD5"/>
    <w:rsid w:val="0081363E"/>
    <w:rsid w:val="00813B5E"/>
    <w:rsid w:val="00814F06"/>
    <w:rsid w:val="008156A9"/>
    <w:rsid w:val="00815C27"/>
    <w:rsid w:val="0081649B"/>
    <w:rsid w:val="008164C0"/>
    <w:rsid w:val="008175F0"/>
    <w:rsid w:val="008177A6"/>
    <w:rsid w:val="00817842"/>
    <w:rsid w:val="00820A39"/>
    <w:rsid w:val="00821808"/>
    <w:rsid w:val="008222C4"/>
    <w:rsid w:val="00822E8F"/>
    <w:rsid w:val="008247EA"/>
    <w:rsid w:val="008266DC"/>
    <w:rsid w:val="008275C5"/>
    <w:rsid w:val="00827E27"/>
    <w:rsid w:val="00830405"/>
    <w:rsid w:val="008307E1"/>
    <w:rsid w:val="00831150"/>
    <w:rsid w:val="008313EA"/>
    <w:rsid w:val="0083152C"/>
    <w:rsid w:val="00831798"/>
    <w:rsid w:val="00832074"/>
    <w:rsid w:val="00832C84"/>
    <w:rsid w:val="00832CAF"/>
    <w:rsid w:val="00832EE4"/>
    <w:rsid w:val="00833CF6"/>
    <w:rsid w:val="00834070"/>
    <w:rsid w:val="00834984"/>
    <w:rsid w:val="00835197"/>
    <w:rsid w:val="00835AD5"/>
    <w:rsid w:val="00835B53"/>
    <w:rsid w:val="00835BC1"/>
    <w:rsid w:val="0083671F"/>
    <w:rsid w:val="0083763C"/>
    <w:rsid w:val="00840780"/>
    <w:rsid w:val="0084241E"/>
    <w:rsid w:val="0084263C"/>
    <w:rsid w:val="00842EFF"/>
    <w:rsid w:val="00842F96"/>
    <w:rsid w:val="0084346D"/>
    <w:rsid w:val="008437A9"/>
    <w:rsid w:val="00843B73"/>
    <w:rsid w:val="00844223"/>
    <w:rsid w:val="008443F5"/>
    <w:rsid w:val="00844F99"/>
    <w:rsid w:val="00845192"/>
    <w:rsid w:val="008451E3"/>
    <w:rsid w:val="00845237"/>
    <w:rsid w:val="0084699E"/>
    <w:rsid w:val="008478D6"/>
    <w:rsid w:val="00847E2B"/>
    <w:rsid w:val="008501DB"/>
    <w:rsid w:val="008501EA"/>
    <w:rsid w:val="0085053C"/>
    <w:rsid w:val="00851427"/>
    <w:rsid w:val="008527BC"/>
    <w:rsid w:val="00853958"/>
    <w:rsid w:val="00853F84"/>
    <w:rsid w:val="008549A9"/>
    <w:rsid w:val="008551A2"/>
    <w:rsid w:val="008552FB"/>
    <w:rsid w:val="00855674"/>
    <w:rsid w:val="00855BDA"/>
    <w:rsid w:val="00856056"/>
    <w:rsid w:val="00856825"/>
    <w:rsid w:val="00857476"/>
    <w:rsid w:val="00857B0C"/>
    <w:rsid w:val="0086066F"/>
    <w:rsid w:val="00861305"/>
    <w:rsid w:val="0086262A"/>
    <w:rsid w:val="0086280D"/>
    <w:rsid w:val="00862C85"/>
    <w:rsid w:val="00862F4F"/>
    <w:rsid w:val="00863714"/>
    <w:rsid w:val="008654CF"/>
    <w:rsid w:val="00865730"/>
    <w:rsid w:val="00865BF4"/>
    <w:rsid w:val="008661B4"/>
    <w:rsid w:val="00866534"/>
    <w:rsid w:val="00866BA2"/>
    <w:rsid w:val="008672A5"/>
    <w:rsid w:val="008672BD"/>
    <w:rsid w:val="008703D6"/>
    <w:rsid w:val="00870639"/>
    <w:rsid w:val="00870A60"/>
    <w:rsid w:val="00872AFC"/>
    <w:rsid w:val="00872B28"/>
    <w:rsid w:val="00874369"/>
    <w:rsid w:val="008745E9"/>
    <w:rsid w:val="00874E90"/>
    <w:rsid w:val="008750BE"/>
    <w:rsid w:val="0087578E"/>
    <w:rsid w:val="00875889"/>
    <w:rsid w:val="00875E58"/>
    <w:rsid w:val="00875F0A"/>
    <w:rsid w:val="008773BA"/>
    <w:rsid w:val="008773CD"/>
    <w:rsid w:val="00877B79"/>
    <w:rsid w:val="00877EAD"/>
    <w:rsid w:val="00880EFA"/>
    <w:rsid w:val="0088178C"/>
    <w:rsid w:val="00881B27"/>
    <w:rsid w:val="00881C81"/>
    <w:rsid w:val="00881FAC"/>
    <w:rsid w:val="00882085"/>
    <w:rsid w:val="00882280"/>
    <w:rsid w:val="00882512"/>
    <w:rsid w:val="00883380"/>
    <w:rsid w:val="00883BB2"/>
    <w:rsid w:val="00883D72"/>
    <w:rsid w:val="008845F6"/>
    <w:rsid w:val="00884607"/>
    <w:rsid w:val="00884A3C"/>
    <w:rsid w:val="00886527"/>
    <w:rsid w:val="0088658A"/>
    <w:rsid w:val="00886872"/>
    <w:rsid w:val="008868A4"/>
    <w:rsid w:val="00886C08"/>
    <w:rsid w:val="008906D3"/>
    <w:rsid w:val="00890760"/>
    <w:rsid w:val="0089197C"/>
    <w:rsid w:val="00891B18"/>
    <w:rsid w:val="00893448"/>
    <w:rsid w:val="008937BE"/>
    <w:rsid w:val="00893A1B"/>
    <w:rsid w:val="00893AF1"/>
    <w:rsid w:val="00893B42"/>
    <w:rsid w:val="00896807"/>
    <w:rsid w:val="008975D1"/>
    <w:rsid w:val="00897641"/>
    <w:rsid w:val="008978FB"/>
    <w:rsid w:val="00897B17"/>
    <w:rsid w:val="00897FFB"/>
    <w:rsid w:val="008A001F"/>
    <w:rsid w:val="008A01D1"/>
    <w:rsid w:val="008A0E7D"/>
    <w:rsid w:val="008A11AB"/>
    <w:rsid w:val="008A27BC"/>
    <w:rsid w:val="008A4404"/>
    <w:rsid w:val="008A4583"/>
    <w:rsid w:val="008A4A84"/>
    <w:rsid w:val="008A593D"/>
    <w:rsid w:val="008A5B3D"/>
    <w:rsid w:val="008A648B"/>
    <w:rsid w:val="008A70BF"/>
    <w:rsid w:val="008A71A9"/>
    <w:rsid w:val="008B02F2"/>
    <w:rsid w:val="008B32EE"/>
    <w:rsid w:val="008B3C77"/>
    <w:rsid w:val="008B3CA1"/>
    <w:rsid w:val="008B55CB"/>
    <w:rsid w:val="008B5739"/>
    <w:rsid w:val="008B7C4B"/>
    <w:rsid w:val="008C0856"/>
    <w:rsid w:val="008C1988"/>
    <w:rsid w:val="008C2385"/>
    <w:rsid w:val="008C3C62"/>
    <w:rsid w:val="008C3D7E"/>
    <w:rsid w:val="008C4188"/>
    <w:rsid w:val="008C50F7"/>
    <w:rsid w:val="008C5493"/>
    <w:rsid w:val="008C56F6"/>
    <w:rsid w:val="008C5B2B"/>
    <w:rsid w:val="008C6D83"/>
    <w:rsid w:val="008C721F"/>
    <w:rsid w:val="008C7774"/>
    <w:rsid w:val="008D120F"/>
    <w:rsid w:val="008D14A6"/>
    <w:rsid w:val="008D216D"/>
    <w:rsid w:val="008D2205"/>
    <w:rsid w:val="008D2A6A"/>
    <w:rsid w:val="008D3AAC"/>
    <w:rsid w:val="008D3B7C"/>
    <w:rsid w:val="008D3BB1"/>
    <w:rsid w:val="008D41D1"/>
    <w:rsid w:val="008D4252"/>
    <w:rsid w:val="008D50FD"/>
    <w:rsid w:val="008D5BD4"/>
    <w:rsid w:val="008D636D"/>
    <w:rsid w:val="008D7898"/>
    <w:rsid w:val="008E1B59"/>
    <w:rsid w:val="008E1D38"/>
    <w:rsid w:val="008E1E6B"/>
    <w:rsid w:val="008E3795"/>
    <w:rsid w:val="008E38C2"/>
    <w:rsid w:val="008E490C"/>
    <w:rsid w:val="008E5B8C"/>
    <w:rsid w:val="008E5BA3"/>
    <w:rsid w:val="008E65D2"/>
    <w:rsid w:val="008E78B3"/>
    <w:rsid w:val="008E7B52"/>
    <w:rsid w:val="008F0A63"/>
    <w:rsid w:val="008F0C4A"/>
    <w:rsid w:val="008F10B3"/>
    <w:rsid w:val="008F24FC"/>
    <w:rsid w:val="008F3227"/>
    <w:rsid w:val="008F3CE7"/>
    <w:rsid w:val="008F59BD"/>
    <w:rsid w:val="008F5B54"/>
    <w:rsid w:val="008F6135"/>
    <w:rsid w:val="008F6168"/>
    <w:rsid w:val="008F67B3"/>
    <w:rsid w:val="008F6D96"/>
    <w:rsid w:val="008F7169"/>
    <w:rsid w:val="008F7F42"/>
    <w:rsid w:val="008F7F95"/>
    <w:rsid w:val="0090140A"/>
    <w:rsid w:val="009019AB"/>
    <w:rsid w:val="0090204A"/>
    <w:rsid w:val="009025F6"/>
    <w:rsid w:val="00902814"/>
    <w:rsid w:val="00902BC9"/>
    <w:rsid w:val="00902EE1"/>
    <w:rsid w:val="009033B0"/>
    <w:rsid w:val="00903567"/>
    <w:rsid w:val="00903792"/>
    <w:rsid w:val="009038BF"/>
    <w:rsid w:val="009043A8"/>
    <w:rsid w:val="009048F1"/>
    <w:rsid w:val="00904BCB"/>
    <w:rsid w:val="009057C8"/>
    <w:rsid w:val="0090668F"/>
    <w:rsid w:val="00907653"/>
    <w:rsid w:val="00907CCA"/>
    <w:rsid w:val="009100C2"/>
    <w:rsid w:val="0091020F"/>
    <w:rsid w:val="009102D4"/>
    <w:rsid w:val="009107B8"/>
    <w:rsid w:val="00911536"/>
    <w:rsid w:val="00911EE4"/>
    <w:rsid w:val="009137B6"/>
    <w:rsid w:val="00914A6E"/>
    <w:rsid w:val="00914F76"/>
    <w:rsid w:val="00915EB4"/>
    <w:rsid w:val="009164DA"/>
    <w:rsid w:val="0091700D"/>
    <w:rsid w:val="00917D65"/>
    <w:rsid w:val="00917DAA"/>
    <w:rsid w:val="00920A73"/>
    <w:rsid w:val="00920EDC"/>
    <w:rsid w:val="00921162"/>
    <w:rsid w:val="009216E6"/>
    <w:rsid w:val="00921A65"/>
    <w:rsid w:val="00921E07"/>
    <w:rsid w:val="0092215F"/>
    <w:rsid w:val="0092250F"/>
    <w:rsid w:val="00922C2E"/>
    <w:rsid w:val="00924023"/>
    <w:rsid w:val="00924084"/>
    <w:rsid w:val="00925968"/>
    <w:rsid w:val="00925BBB"/>
    <w:rsid w:val="00925BC0"/>
    <w:rsid w:val="009264EB"/>
    <w:rsid w:val="009268F3"/>
    <w:rsid w:val="00926B9B"/>
    <w:rsid w:val="009301CE"/>
    <w:rsid w:val="00930703"/>
    <w:rsid w:val="00930A41"/>
    <w:rsid w:val="00930C02"/>
    <w:rsid w:val="00931331"/>
    <w:rsid w:val="00931CF6"/>
    <w:rsid w:val="00932205"/>
    <w:rsid w:val="00932840"/>
    <w:rsid w:val="00932988"/>
    <w:rsid w:val="00932F0B"/>
    <w:rsid w:val="009332A3"/>
    <w:rsid w:val="009334E3"/>
    <w:rsid w:val="00933500"/>
    <w:rsid w:val="0093383D"/>
    <w:rsid w:val="0093430A"/>
    <w:rsid w:val="009351C7"/>
    <w:rsid w:val="00935F68"/>
    <w:rsid w:val="00936C37"/>
    <w:rsid w:val="00937060"/>
    <w:rsid w:val="00937998"/>
    <w:rsid w:val="009401FD"/>
    <w:rsid w:val="009409D3"/>
    <w:rsid w:val="00940DBA"/>
    <w:rsid w:val="00941314"/>
    <w:rsid w:val="009418E3"/>
    <w:rsid w:val="009427A2"/>
    <w:rsid w:val="00942D9D"/>
    <w:rsid w:val="009440C8"/>
    <w:rsid w:val="0094473B"/>
    <w:rsid w:val="00945B09"/>
    <w:rsid w:val="00945C05"/>
    <w:rsid w:val="00945D08"/>
    <w:rsid w:val="00947333"/>
    <w:rsid w:val="009506C7"/>
    <w:rsid w:val="00950AE9"/>
    <w:rsid w:val="00950FB1"/>
    <w:rsid w:val="00951BC9"/>
    <w:rsid w:val="00951EBF"/>
    <w:rsid w:val="009527AB"/>
    <w:rsid w:val="00952BAE"/>
    <w:rsid w:val="00952D5C"/>
    <w:rsid w:val="009533A9"/>
    <w:rsid w:val="009541D9"/>
    <w:rsid w:val="00954247"/>
    <w:rsid w:val="00954D99"/>
    <w:rsid w:val="0095504D"/>
    <w:rsid w:val="009558A2"/>
    <w:rsid w:val="0095598A"/>
    <w:rsid w:val="00955F5E"/>
    <w:rsid w:val="00956F3C"/>
    <w:rsid w:val="00957083"/>
    <w:rsid w:val="0095765D"/>
    <w:rsid w:val="00960589"/>
    <w:rsid w:val="00960A6D"/>
    <w:rsid w:val="00960B21"/>
    <w:rsid w:val="00961677"/>
    <w:rsid w:val="00961C5F"/>
    <w:rsid w:val="00961CDD"/>
    <w:rsid w:val="00961D95"/>
    <w:rsid w:val="00962264"/>
    <w:rsid w:val="00962C00"/>
    <w:rsid w:val="00962D74"/>
    <w:rsid w:val="00962FF1"/>
    <w:rsid w:val="009645FD"/>
    <w:rsid w:val="00964792"/>
    <w:rsid w:val="0096498F"/>
    <w:rsid w:val="00964C1E"/>
    <w:rsid w:val="00965290"/>
    <w:rsid w:val="009657F0"/>
    <w:rsid w:val="00965969"/>
    <w:rsid w:val="00966319"/>
    <w:rsid w:val="009665BB"/>
    <w:rsid w:val="00966A7C"/>
    <w:rsid w:val="00966C3F"/>
    <w:rsid w:val="00966D56"/>
    <w:rsid w:val="00967096"/>
    <w:rsid w:val="00967941"/>
    <w:rsid w:val="00970035"/>
    <w:rsid w:val="00970054"/>
    <w:rsid w:val="00970724"/>
    <w:rsid w:val="0097087D"/>
    <w:rsid w:val="00970E16"/>
    <w:rsid w:val="009713B5"/>
    <w:rsid w:val="009713F0"/>
    <w:rsid w:val="00971702"/>
    <w:rsid w:val="009718B8"/>
    <w:rsid w:val="00971B8A"/>
    <w:rsid w:val="00971F6E"/>
    <w:rsid w:val="00971FF9"/>
    <w:rsid w:val="00972866"/>
    <w:rsid w:val="00973419"/>
    <w:rsid w:val="00973B0F"/>
    <w:rsid w:val="00973C7C"/>
    <w:rsid w:val="00974FD0"/>
    <w:rsid w:val="00975136"/>
    <w:rsid w:val="0097580F"/>
    <w:rsid w:val="009759C7"/>
    <w:rsid w:val="0097617D"/>
    <w:rsid w:val="00976319"/>
    <w:rsid w:val="0097673F"/>
    <w:rsid w:val="00976BFC"/>
    <w:rsid w:val="00976C7D"/>
    <w:rsid w:val="00976F7C"/>
    <w:rsid w:val="009774A6"/>
    <w:rsid w:val="009776F0"/>
    <w:rsid w:val="009802DC"/>
    <w:rsid w:val="00980756"/>
    <w:rsid w:val="009810BE"/>
    <w:rsid w:val="00982CC0"/>
    <w:rsid w:val="00983092"/>
    <w:rsid w:val="009835AE"/>
    <w:rsid w:val="00983713"/>
    <w:rsid w:val="009839DA"/>
    <w:rsid w:val="00984A7D"/>
    <w:rsid w:val="00984DFC"/>
    <w:rsid w:val="00986A40"/>
    <w:rsid w:val="00986CF5"/>
    <w:rsid w:val="00987034"/>
    <w:rsid w:val="0099015E"/>
    <w:rsid w:val="009901E6"/>
    <w:rsid w:val="009912CF"/>
    <w:rsid w:val="0099153B"/>
    <w:rsid w:val="0099198E"/>
    <w:rsid w:val="00991AA7"/>
    <w:rsid w:val="00991DBF"/>
    <w:rsid w:val="00991E4A"/>
    <w:rsid w:val="0099262D"/>
    <w:rsid w:val="009940BB"/>
    <w:rsid w:val="009943BE"/>
    <w:rsid w:val="009947B7"/>
    <w:rsid w:val="00994825"/>
    <w:rsid w:val="009949CF"/>
    <w:rsid w:val="00994D15"/>
    <w:rsid w:val="00995254"/>
    <w:rsid w:val="009954CE"/>
    <w:rsid w:val="009960F8"/>
    <w:rsid w:val="00996A61"/>
    <w:rsid w:val="00996F0D"/>
    <w:rsid w:val="00996F94"/>
    <w:rsid w:val="0099758C"/>
    <w:rsid w:val="009976E5"/>
    <w:rsid w:val="009978E8"/>
    <w:rsid w:val="009A07CD"/>
    <w:rsid w:val="009A09FE"/>
    <w:rsid w:val="009A0DA2"/>
    <w:rsid w:val="009A0E7A"/>
    <w:rsid w:val="009A18FF"/>
    <w:rsid w:val="009A2782"/>
    <w:rsid w:val="009A2BD8"/>
    <w:rsid w:val="009A329C"/>
    <w:rsid w:val="009A341A"/>
    <w:rsid w:val="009A38FA"/>
    <w:rsid w:val="009A3A36"/>
    <w:rsid w:val="009A48C8"/>
    <w:rsid w:val="009A5084"/>
    <w:rsid w:val="009A6465"/>
    <w:rsid w:val="009A6C68"/>
    <w:rsid w:val="009A78A4"/>
    <w:rsid w:val="009A7AD7"/>
    <w:rsid w:val="009B0B3C"/>
    <w:rsid w:val="009B0C3C"/>
    <w:rsid w:val="009B18F3"/>
    <w:rsid w:val="009B22DC"/>
    <w:rsid w:val="009B277F"/>
    <w:rsid w:val="009B27E4"/>
    <w:rsid w:val="009B3374"/>
    <w:rsid w:val="009B36D4"/>
    <w:rsid w:val="009B376F"/>
    <w:rsid w:val="009B3780"/>
    <w:rsid w:val="009B761C"/>
    <w:rsid w:val="009B7DBB"/>
    <w:rsid w:val="009C01EB"/>
    <w:rsid w:val="009C12ED"/>
    <w:rsid w:val="009C27C9"/>
    <w:rsid w:val="009C2A3C"/>
    <w:rsid w:val="009C37F7"/>
    <w:rsid w:val="009C4079"/>
    <w:rsid w:val="009C4ED2"/>
    <w:rsid w:val="009C5529"/>
    <w:rsid w:val="009C5566"/>
    <w:rsid w:val="009C5815"/>
    <w:rsid w:val="009C5C1A"/>
    <w:rsid w:val="009C6F35"/>
    <w:rsid w:val="009C7061"/>
    <w:rsid w:val="009C717A"/>
    <w:rsid w:val="009D0DE8"/>
    <w:rsid w:val="009D1183"/>
    <w:rsid w:val="009D16B1"/>
    <w:rsid w:val="009D2353"/>
    <w:rsid w:val="009D2E5C"/>
    <w:rsid w:val="009D3D4F"/>
    <w:rsid w:val="009D4030"/>
    <w:rsid w:val="009D50A3"/>
    <w:rsid w:val="009D615E"/>
    <w:rsid w:val="009D65AF"/>
    <w:rsid w:val="009D6AAF"/>
    <w:rsid w:val="009D70CC"/>
    <w:rsid w:val="009D7893"/>
    <w:rsid w:val="009E0031"/>
    <w:rsid w:val="009E0FE3"/>
    <w:rsid w:val="009E177E"/>
    <w:rsid w:val="009E29EC"/>
    <w:rsid w:val="009E2B50"/>
    <w:rsid w:val="009E2CE6"/>
    <w:rsid w:val="009E2DF5"/>
    <w:rsid w:val="009E3607"/>
    <w:rsid w:val="009E3942"/>
    <w:rsid w:val="009E4922"/>
    <w:rsid w:val="009E578B"/>
    <w:rsid w:val="009E598D"/>
    <w:rsid w:val="009E5E25"/>
    <w:rsid w:val="009E65D1"/>
    <w:rsid w:val="009E6CBF"/>
    <w:rsid w:val="009E73F8"/>
    <w:rsid w:val="009E76A0"/>
    <w:rsid w:val="009E78F2"/>
    <w:rsid w:val="009F01F8"/>
    <w:rsid w:val="009F0A7F"/>
    <w:rsid w:val="009F1340"/>
    <w:rsid w:val="009F1666"/>
    <w:rsid w:val="009F1A19"/>
    <w:rsid w:val="009F1AB3"/>
    <w:rsid w:val="009F5AED"/>
    <w:rsid w:val="009F686B"/>
    <w:rsid w:val="009F6BA5"/>
    <w:rsid w:val="009F78A0"/>
    <w:rsid w:val="009F7C09"/>
    <w:rsid w:val="009F7D74"/>
    <w:rsid w:val="00A00CD1"/>
    <w:rsid w:val="00A00EAE"/>
    <w:rsid w:val="00A013F7"/>
    <w:rsid w:val="00A0175E"/>
    <w:rsid w:val="00A0179B"/>
    <w:rsid w:val="00A01852"/>
    <w:rsid w:val="00A01E93"/>
    <w:rsid w:val="00A03C4D"/>
    <w:rsid w:val="00A03DD8"/>
    <w:rsid w:val="00A05248"/>
    <w:rsid w:val="00A07662"/>
    <w:rsid w:val="00A076FF"/>
    <w:rsid w:val="00A100B0"/>
    <w:rsid w:val="00A1097E"/>
    <w:rsid w:val="00A10B85"/>
    <w:rsid w:val="00A11DA7"/>
    <w:rsid w:val="00A11DDF"/>
    <w:rsid w:val="00A11FBB"/>
    <w:rsid w:val="00A1381D"/>
    <w:rsid w:val="00A14056"/>
    <w:rsid w:val="00A14683"/>
    <w:rsid w:val="00A156D7"/>
    <w:rsid w:val="00A158E4"/>
    <w:rsid w:val="00A15A33"/>
    <w:rsid w:val="00A15B6A"/>
    <w:rsid w:val="00A1694D"/>
    <w:rsid w:val="00A16ADF"/>
    <w:rsid w:val="00A16B93"/>
    <w:rsid w:val="00A16BA7"/>
    <w:rsid w:val="00A220BC"/>
    <w:rsid w:val="00A22642"/>
    <w:rsid w:val="00A22652"/>
    <w:rsid w:val="00A22E71"/>
    <w:rsid w:val="00A2333F"/>
    <w:rsid w:val="00A23C09"/>
    <w:rsid w:val="00A24150"/>
    <w:rsid w:val="00A2415A"/>
    <w:rsid w:val="00A24BB7"/>
    <w:rsid w:val="00A25DD2"/>
    <w:rsid w:val="00A260E9"/>
    <w:rsid w:val="00A26613"/>
    <w:rsid w:val="00A26701"/>
    <w:rsid w:val="00A26BCB"/>
    <w:rsid w:val="00A26F2D"/>
    <w:rsid w:val="00A27992"/>
    <w:rsid w:val="00A27B32"/>
    <w:rsid w:val="00A27C91"/>
    <w:rsid w:val="00A27CC3"/>
    <w:rsid w:val="00A3007F"/>
    <w:rsid w:val="00A3037C"/>
    <w:rsid w:val="00A30427"/>
    <w:rsid w:val="00A313BF"/>
    <w:rsid w:val="00A3217C"/>
    <w:rsid w:val="00A336E1"/>
    <w:rsid w:val="00A34493"/>
    <w:rsid w:val="00A34DA1"/>
    <w:rsid w:val="00A35282"/>
    <w:rsid w:val="00A355B1"/>
    <w:rsid w:val="00A374AE"/>
    <w:rsid w:val="00A400FB"/>
    <w:rsid w:val="00A408AD"/>
    <w:rsid w:val="00A41FB0"/>
    <w:rsid w:val="00A421BC"/>
    <w:rsid w:val="00A421E6"/>
    <w:rsid w:val="00A43DE5"/>
    <w:rsid w:val="00A446C4"/>
    <w:rsid w:val="00A44797"/>
    <w:rsid w:val="00A4645D"/>
    <w:rsid w:val="00A466D9"/>
    <w:rsid w:val="00A46878"/>
    <w:rsid w:val="00A469F1"/>
    <w:rsid w:val="00A47314"/>
    <w:rsid w:val="00A47338"/>
    <w:rsid w:val="00A4757A"/>
    <w:rsid w:val="00A47618"/>
    <w:rsid w:val="00A5087B"/>
    <w:rsid w:val="00A50A96"/>
    <w:rsid w:val="00A50C5F"/>
    <w:rsid w:val="00A51211"/>
    <w:rsid w:val="00A522F3"/>
    <w:rsid w:val="00A5490F"/>
    <w:rsid w:val="00A549BD"/>
    <w:rsid w:val="00A54F1F"/>
    <w:rsid w:val="00A554A4"/>
    <w:rsid w:val="00A555CB"/>
    <w:rsid w:val="00A55676"/>
    <w:rsid w:val="00A55C18"/>
    <w:rsid w:val="00A5679C"/>
    <w:rsid w:val="00A568F7"/>
    <w:rsid w:val="00A56ADE"/>
    <w:rsid w:val="00A5700B"/>
    <w:rsid w:val="00A57DD8"/>
    <w:rsid w:val="00A57F55"/>
    <w:rsid w:val="00A602DB"/>
    <w:rsid w:val="00A61C33"/>
    <w:rsid w:val="00A6236A"/>
    <w:rsid w:val="00A62906"/>
    <w:rsid w:val="00A62CCB"/>
    <w:rsid w:val="00A63A34"/>
    <w:rsid w:val="00A63F6E"/>
    <w:rsid w:val="00A64C88"/>
    <w:rsid w:val="00A65F29"/>
    <w:rsid w:val="00A66292"/>
    <w:rsid w:val="00A66293"/>
    <w:rsid w:val="00A66626"/>
    <w:rsid w:val="00A66B78"/>
    <w:rsid w:val="00A66BCD"/>
    <w:rsid w:val="00A66FD0"/>
    <w:rsid w:val="00A67792"/>
    <w:rsid w:val="00A679E0"/>
    <w:rsid w:val="00A67DCA"/>
    <w:rsid w:val="00A67E63"/>
    <w:rsid w:val="00A701CA"/>
    <w:rsid w:val="00A7124A"/>
    <w:rsid w:val="00A71ADA"/>
    <w:rsid w:val="00A72C5F"/>
    <w:rsid w:val="00A7316D"/>
    <w:rsid w:val="00A73F7A"/>
    <w:rsid w:val="00A74457"/>
    <w:rsid w:val="00A74811"/>
    <w:rsid w:val="00A75265"/>
    <w:rsid w:val="00A759B5"/>
    <w:rsid w:val="00A7603A"/>
    <w:rsid w:val="00A76CDD"/>
    <w:rsid w:val="00A76E39"/>
    <w:rsid w:val="00A77504"/>
    <w:rsid w:val="00A77A6A"/>
    <w:rsid w:val="00A77CD0"/>
    <w:rsid w:val="00A77DCB"/>
    <w:rsid w:val="00A77ECD"/>
    <w:rsid w:val="00A77F20"/>
    <w:rsid w:val="00A803A2"/>
    <w:rsid w:val="00A807CD"/>
    <w:rsid w:val="00A807FE"/>
    <w:rsid w:val="00A819BB"/>
    <w:rsid w:val="00A81AA1"/>
    <w:rsid w:val="00A82105"/>
    <w:rsid w:val="00A82813"/>
    <w:rsid w:val="00A8369B"/>
    <w:rsid w:val="00A83894"/>
    <w:rsid w:val="00A839A4"/>
    <w:rsid w:val="00A83FC8"/>
    <w:rsid w:val="00A85F3F"/>
    <w:rsid w:val="00A863C7"/>
    <w:rsid w:val="00A866EA"/>
    <w:rsid w:val="00A900A2"/>
    <w:rsid w:val="00A901B6"/>
    <w:rsid w:val="00A90837"/>
    <w:rsid w:val="00A9085C"/>
    <w:rsid w:val="00A90E61"/>
    <w:rsid w:val="00A910F5"/>
    <w:rsid w:val="00A9165F"/>
    <w:rsid w:val="00A922BB"/>
    <w:rsid w:val="00A92B22"/>
    <w:rsid w:val="00A93C34"/>
    <w:rsid w:val="00A94B6E"/>
    <w:rsid w:val="00A94E82"/>
    <w:rsid w:val="00A95025"/>
    <w:rsid w:val="00A95373"/>
    <w:rsid w:val="00A953D8"/>
    <w:rsid w:val="00A954FA"/>
    <w:rsid w:val="00A955B1"/>
    <w:rsid w:val="00A95AB3"/>
    <w:rsid w:val="00A95C5B"/>
    <w:rsid w:val="00A95D13"/>
    <w:rsid w:val="00A96067"/>
    <w:rsid w:val="00A96B05"/>
    <w:rsid w:val="00A973FA"/>
    <w:rsid w:val="00A97D30"/>
    <w:rsid w:val="00AA022B"/>
    <w:rsid w:val="00AA1894"/>
    <w:rsid w:val="00AA1D9E"/>
    <w:rsid w:val="00AA2348"/>
    <w:rsid w:val="00AA28DC"/>
    <w:rsid w:val="00AA3246"/>
    <w:rsid w:val="00AA38AC"/>
    <w:rsid w:val="00AA3BD8"/>
    <w:rsid w:val="00AA4579"/>
    <w:rsid w:val="00AA4A2C"/>
    <w:rsid w:val="00AA601C"/>
    <w:rsid w:val="00AA61A5"/>
    <w:rsid w:val="00AA6B4E"/>
    <w:rsid w:val="00AA74DB"/>
    <w:rsid w:val="00AA7B55"/>
    <w:rsid w:val="00AA7DD9"/>
    <w:rsid w:val="00AB012B"/>
    <w:rsid w:val="00AB18ED"/>
    <w:rsid w:val="00AB1E56"/>
    <w:rsid w:val="00AB22D4"/>
    <w:rsid w:val="00AB3787"/>
    <w:rsid w:val="00AB4019"/>
    <w:rsid w:val="00AB473E"/>
    <w:rsid w:val="00AB48FB"/>
    <w:rsid w:val="00AB495C"/>
    <w:rsid w:val="00AB4A6C"/>
    <w:rsid w:val="00AB4DCD"/>
    <w:rsid w:val="00AB4FC1"/>
    <w:rsid w:val="00AB564D"/>
    <w:rsid w:val="00AB56A6"/>
    <w:rsid w:val="00AB58F1"/>
    <w:rsid w:val="00AB6957"/>
    <w:rsid w:val="00AC07CC"/>
    <w:rsid w:val="00AC1E14"/>
    <w:rsid w:val="00AC1F6B"/>
    <w:rsid w:val="00AC2190"/>
    <w:rsid w:val="00AC2433"/>
    <w:rsid w:val="00AC355B"/>
    <w:rsid w:val="00AC35D0"/>
    <w:rsid w:val="00AC3C9D"/>
    <w:rsid w:val="00AC4751"/>
    <w:rsid w:val="00AC53AE"/>
    <w:rsid w:val="00AC561E"/>
    <w:rsid w:val="00AC5AA7"/>
    <w:rsid w:val="00AC6202"/>
    <w:rsid w:val="00AC67E1"/>
    <w:rsid w:val="00AC6898"/>
    <w:rsid w:val="00AC6B71"/>
    <w:rsid w:val="00AC6E43"/>
    <w:rsid w:val="00AC73DE"/>
    <w:rsid w:val="00AC78CA"/>
    <w:rsid w:val="00AC7FA4"/>
    <w:rsid w:val="00AD0188"/>
    <w:rsid w:val="00AD05F8"/>
    <w:rsid w:val="00AD175F"/>
    <w:rsid w:val="00AD2C4E"/>
    <w:rsid w:val="00AD35F6"/>
    <w:rsid w:val="00AD3FFE"/>
    <w:rsid w:val="00AD4A2E"/>
    <w:rsid w:val="00AD4DA9"/>
    <w:rsid w:val="00AD5C53"/>
    <w:rsid w:val="00AD6509"/>
    <w:rsid w:val="00AD6807"/>
    <w:rsid w:val="00AD6C5C"/>
    <w:rsid w:val="00AD6F48"/>
    <w:rsid w:val="00AD7535"/>
    <w:rsid w:val="00AD759D"/>
    <w:rsid w:val="00AD76D0"/>
    <w:rsid w:val="00AE0A86"/>
    <w:rsid w:val="00AE0BDD"/>
    <w:rsid w:val="00AE0BEF"/>
    <w:rsid w:val="00AE1745"/>
    <w:rsid w:val="00AE35B2"/>
    <w:rsid w:val="00AE3885"/>
    <w:rsid w:val="00AE3CBB"/>
    <w:rsid w:val="00AE3E14"/>
    <w:rsid w:val="00AE4EAF"/>
    <w:rsid w:val="00AE6FE9"/>
    <w:rsid w:val="00AF02D7"/>
    <w:rsid w:val="00AF059D"/>
    <w:rsid w:val="00AF0822"/>
    <w:rsid w:val="00AF1A64"/>
    <w:rsid w:val="00AF2420"/>
    <w:rsid w:val="00AF2A1D"/>
    <w:rsid w:val="00AF3688"/>
    <w:rsid w:val="00AF38A9"/>
    <w:rsid w:val="00AF4893"/>
    <w:rsid w:val="00AF6F55"/>
    <w:rsid w:val="00AF717E"/>
    <w:rsid w:val="00AF7939"/>
    <w:rsid w:val="00B002A9"/>
    <w:rsid w:val="00B010AB"/>
    <w:rsid w:val="00B014CD"/>
    <w:rsid w:val="00B0157C"/>
    <w:rsid w:val="00B01D9F"/>
    <w:rsid w:val="00B030F0"/>
    <w:rsid w:val="00B03919"/>
    <w:rsid w:val="00B03A7D"/>
    <w:rsid w:val="00B04698"/>
    <w:rsid w:val="00B04F6E"/>
    <w:rsid w:val="00B056B1"/>
    <w:rsid w:val="00B05907"/>
    <w:rsid w:val="00B05EDB"/>
    <w:rsid w:val="00B06672"/>
    <w:rsid w:val="00B0732F"/>
    <w:rsid w:val="00B077E2"/>
    <w:rsid w:val="00B104F5"/>
    <w:rsid w:val="00B1163A"/>
    <w:rsid w:val="00B12A8C"/>
    <w:rsid w:val="00B154CC"/>
    <w:rsid w:val="00B16055"/>
    <w:rsid w:val="00B16414"/>
    <w:rsid w:val="00B16D3B"/>
    <w:rsid w:val="00B16F8A"/>
    <w:rsid w:val="00B16FF2"/>
    <w:rsid w:val="00B172A3"/>
    <w:rsid w:val="00B2020D"/>
    <w:rsid w:val="00B207D8"/>
    <w:rsid w:val="00B20B15"/>
    <w:rsid w:val="00B20C7E"/>
    <w:rsid w:val="00B2126A"/>
    <w:rsid w:val="00B21619"/>
    <w:rsid w:val="00B218DC"/>
    <w:rsid w:val="00B21DB9"/>
    <w:rsid w:val="00B21FD2"/>
    <w:rsid w:val="00B22D92"/>
    <w:rsid w:val="00B231D6"/>
    <w:rsid w:val="00B24E3E"/>
    <w:rsid w:val="00B251A6"/>
    <w:rsid w:val="00B25A67"/>
    <w:rsid w:val="00B2769D"/>
    <w:rsid w:val="00B27E88"/>
    <w:rsid w:val="00B301D9"/>
    <w:rsid w:val="00B30A89"/>
    <w:rsid w:val="00B30DFD"/>
    <w:rsid w:val="00B3131E"/>
    <w:rsid w:val="00B31837"/>
    <w:rsid w:val="00B3248C"/>
    <w:rsid w:val="00B32931"/>
    <w:rsid w:val="00B3356E"/>
    <w:rsid w:val="00B33C58"/>
    <w:rsid w:val="00B33DCE"/>
    <w:rsid w:val="00B33E0A"/>
    <w:rsid w:val="00B34B0B"/>
    <w:rsid w:val="00B368B6"/>
    <w:rsid w:val="00B37CF0"/>
    <w:rsid w:val="00B37EA8"/>
    <w:rsid w:val="00B40322"/>
    <w:rsid w:val="00B4105F"/>
    <w:rsid w:val="00B4182A"/>
    <w:rsid w:val="00B41DA9"/>
    <w:rsid w:val="00B4214B"/>
    <w:rsid w:val="00B42562"/>
    <w:rsid w:val="00B444BC"/>
    <w:rsid w:val="00B44711"/>
    <w:rsid w:val="00B4587A"/>
    <w:rsid w:val="00B47370"/>
    <w:rsid w:val="00B5136F"/>
    <w:rsid w:val="00B52252"/>
    <w:rsid w:val="00B52860"/>
    <w:rsid w:val="00B52C70"/>
    <w:rsid w:val="00B52D9C"/>
    <w:rsid w:val="00B52DA3"/>
    <w:rsid w:val="00B54458"/>
    <w:rsid w:val="00B54B2C"/>
    <w:rsid w:val="00B55108"/>
    <w:rsid w:val="00B55646"/>
    <w:rsid w:val="00B57014"/>
    <w:rsid w:val="00B57366"/>
    <w:rsid w:val="00B574A8"/>
    <w:rsid w:val="00B57AF1"/>
    <w:rsid w:val="00B607D7"/>
    <w:rsid w:val="00B60A29"/>
    <w:rsid w:val="00B61DB5"/>
    <w:rsid w:val="00B62549"/>
    <w:rsid w:val="00B62E38"/>
    <w:rsid w:val="00B62E3E"/>
    <w:rsid w:val="00B6382E"/>
    <w:rsid w:val="00B63836"/>
    <w:rsid w:val="00B638B7"/>
    <w:rsid w:val="00B63E5D"/>
    <w:rsid w:val="00B6426D"/>
    <w:rsid w:val="00B65A02"/>
    <w:rsid w:val="00B664A8"/>
    <w:rsid w:val="00B665BC"/>
    <w:rsid w:val="00B6667F"/>
    <w:rsid w:val="00B66A22"/>
    <w:rsid w:val="00B67480"/>
    <w:rsid w:val="00B67F4B"/>
    <w:rsid w:val="00B7172C"/>
    <w:rsid w:val="00B719B8"/>
    <w:rsid w:val="00B72787"/>
    <w:rsid w:val="00B734A3"/>
    <w:rsid w:val="00B735E3"/>
    <w:rsid w:val="00B737D9"/>
    <w:rsid w:val="00B743B4"/>
    <w:rsid w:val="00B7488F"/>
    <w:rsid w:val="00B748F1"/>
    <w:rsid w:val="00B75444"/>
    <w:rsid w:val="00B75DE1"/>
    <w:rsid w:val="00B75ECA"/>
    <w:rsid w:val="00B7675F"/>
    <w:rsid w:val="00B77513"/>
    <w:rsid w:val="00B777A7"/>
    <w:rsid w:val="00B80ACC"/>
    <w:rsid w:val="00B80CBD"/>
    <w:rsid w:val="00B826E2"/>
    <w:rsid w:val="00B82A40"/>
    <w:rsid w:val="00B82B7F"/>
    <w:rsid w:val="00B836DA"/>
    <w:rsid w:val="00B83A8F"/>
    <w:rsid w:val="00B84934"/>
    <w:rsid w:val="00B84D57"/>
    <w:rsid w:val="00B84DD3"/>
    <w:rsid w:val="00B850E9"/>
    <w:rsid w:val="00B855BE"/>
    <w:rsid w:val="00B85B66"/>
    <w:rsid w:val="00B8677E"/>
    <w:rsid w:val="00B86AE5"/>
    <w:rsid w:val="00B86E82"/>
    <w:rsid w:val="00B9032E"/>
    <w:rsid w:val="00B908E2"/>
    <w:rsid w:val="00B91043"/>
    <w:rsid w:val="00B91971"/>
    <w:rsid w:val="00B9199E"/>
    <w:rsid w:val="00B92827"/>
    <w:rsid w:val="00B94860"/>
    <w:rsid w:val="00B9495F"/>
    <w:rsid w:val="00B94F66"/>
    <w:rsid w:val="00B9538D"/>
    <w:rsid w:val="00B95CC4"/>
    <w:rsid w:val="00B95D6D"/>
    <w:rsid w:val="00B96216"/>
    <w:rsid w:val="00B96EFA"/>
    <w:rsid w:val="00BA01CF"/>
    <w:rsid w:val="00BA056E"/>
    <w:rsid w:val="00BA0651"/>
    <w:rsid w:val="00BA0874"/>
    <w:rsid w:val="00BA0D8F"/>
    <w:rsid w:val="00BA11DA"/>
    <w:rsid w:val="00BA1847"/>
    <w:rsid w:val="00BA185A"/>
    <w:rsid w:val="00BA19C4"/>
    <w:rsid w:val="00BA1D83"/>
    <w:rsid w:val="00BA242B"/>
    <w:rsid w:val="00BA2AC9"/>
    <w:rsid w:val="00BA2B85"/>
    <w:rsid w:val="00BA310B"/>
    <w:rsid w:val="00BA397D"/>
    <w:rsid w:val="00BA4089"/>
    <w:rsid w:val="00BA476F"/>
    <w:rsid w:val="00BA47C6"/>
    <w:rsid w:val="00BA50A0"/>
    <w:rsid w:val="00BA5189"/>
    <w:rsid w:val="00BA5358"/>
    <w:rsid w:val="00BA56AB"/>
    <w:rsid w:val="00BA5C93"/>
    <w:rsid w:val="00BA60BF"/>
    <w:rsid w:val="00BA631F"/>
    <w:rsid w:val="00BA63CF"/>
    <w:rsid w:val="00BA6448"/>
    <w:rsid w:val="00BA6D16"/>
    <w:rsid w:val="00BB0F36"/>
    <w:rsid w:val="00BB16A4"/>
    <w:rsid w:val="00BB1D38"/>
    <w:rsid w:val="00BB31C6"/>
    <w:rsid w:val="00BB3503"/>
    <w:rsid w:val="00BB368E"/>
    <w:rsid w:val="00BB3926"/>
    <w:rsid w:val="00BB3A46"/>
    <w:rsid w:val="00BB4702"/>
    <w:rsid w:val="00BB5192"/>
    <w:rsid w:val="00BB560F"/>
    <w:rsid w:val="00BB59ED"/>
    <w:rsid w:val="00BB5E75"/>
    <w:rsid w:val="00BB632E"/>
    <w:rsid w:val="00BB6C0D"/>
    <w:rsid w:val="00BB724A"/>
    <w:rsid w:val="00BB75D3"/>
    <w:rsid w:val="00BB7E80"/>
    <w:rsid w:val="00BB7F7D"/>
    <w:rsid w:val="00BC042F"/>
    <w:rsid w:val="00BC117F"/>
    <w:rsid w:val="00BC11D5"/>
    <w:rsid w:val="00BC128D"/>
    <w:rsid w:val="00BC1BAE"/>
    <w:rsid w:val="00BC1D34"/>
    <w:rsid w:val="00BC2670"/>
    <w:rsid w:val="00BC26DF"/>
    <w:rsid w:val="00BC2778"/>
    <w:rsid w:val="00BC30DD"/>
    <w:rsid w:val="00BC3FC2"/>
    <w:rsid w:val="00BC41BD"/>
    <w:rsid w:val="00BC48C2"/>
    <w:rsid w:val="00BC590B"/>
    <w:rsid w:val="00BC7B16"/>
    <w:rsid w:val="00BD0404"/>
    <w:rsid w:val="00BD07D5"/>
    <w:rsid w:val="00BD1785"/>
    <w:rsid w:val="00BD1B97"/>
    <w:rsid w:val="00BD349B"/>
    <w:rsid w:val="00BD3BA1"/>
    <w:rsid w:val="00BD43AE"/>
    <w:rsid w:val="00BD48F4"/>
    <w:rsid w:val="00BD574C"/>
    <w:rsid w:val="00BD5D41"/>
    <w:rsid w:val="00BD66AD"/>
    <w:rsid w:val="00BD774B"/>
    <w:rsid w:val="00BD77D9"/>
    <w:rsid w:val="00BE01D5"/>
    <w:rsid w:val="00BE02BB"/>
    <w:rsid w:val="00BE070A"/>
    <w:rsid w:val="00BE071E"/>
    <w:rsid w:val="00BE095E"/>
    <w:rsid w:val="00BE0E6E"/>
    <w:rsid w:val="00BE11B9"/>
    <w:rsid w:val="00BE2236"/>
    <w:rsid w:val="00BE23E6"/>
    <w:rsid w:val="00BE2777"/>
    <w:rsid w:val="00BE2ADA"/>
    <w:rsid w:val="00BE2C31"/>
    <w:rsid w:val="00BE33A7"/>
    <w:rsid w:val="00BE3C53"/>
    <w:rsid w:val="00BE4363"/>
    <w:rsid w:val="00BE440E"/>
    <w:rsid w:val="00BE484C"/>
    <w:rsid w:val="00BE5367"/>
    <w:rsid w:val="00BE5A0B"/>
    <w:rsid w:val="00BE5FA1"/>
    <w:rsid w:val="00BE61F5"/>
    <w:rsid w:val="00BE6C51"/>
    <w:rsid w:val="00BE6D3E"/>
    <w:rsid w:val="00BE6E69"/>
    <w:rsid w:val="00BE7002"/>
    <w:rsid w:val="00BE7021"/>
    <w:rsid w:val="00BE705A"/>
    <w:rsid w:val="00BE750A"/>
    <w:rsid w:val="00BE7CF1"/>
    <w:rsid w:val="00BF07D1"/>
    <w:rsid w:val="00BF0A0E"/>
    <w:rsid w:val="00BF0D8C"/>
    <w:rsid w:val="00BF1031"/>
    <w:rsid w:val="00BF25E6"/>
    <w:rsid w:val="00BF30DA"/>
    <w:rsid w:val="00BF3244"/>
    <w:rsid w:val="00BF3796"/>
    <w:rsid w:val="00BF3844"/>
    <w:rsid w:val="00BF428F"/>
    <w:rsid w:val="00BF4674"/>
    <w:rsid w:val="00BF4761"/>
    <w:rsid w:val="00BF5E4A"/>
    <w:rsid w:val="00BF60A5"/>
    <w:rsid w:val="00BF617E"/>
    <w:rsid w:val="00BF618F"/>
    <w:rsid w:val="00BF6F7F"/>
    <w:rsid w:val="00BF711B"/>
    <w:rsid w:val="00BF78A3"/>
    <w:rsid w:val="00C003F2"/>
    <w:rsid w:val="00C00D1E"/>
    <w:rsid w:val="00C0113B"/>
    <w:rsid w:val="00C028B3"/>
    <w:rsid w:val="00C02EE3"/>
    <w:rsid w:val="00C04100"/>
    <w:rsid w:val="00C04272"/>
    <w:rsid w:val="00C05DE6"/>
    <w:rsid w:val="00C05E0A"/>
    <w:rsid w:val="00C0657E"/>
    <w:rsid w:val="00C07469"/>
    <w:rsid w:val="00C07F4D"/>
    <w:rsid w:val="00C1052E"/>
    <w:rsid w:val="00C10641"/>
    <w:rsid w:val="00C106C9"/>
    <w:rsid w:val="00C1104C"/>
    <w:rsid w:val="00C110E1"/>
    <w:rsid w:val="00C1156C"/>
    <w:rsid w:val="00C11823"/>
    <w:rsid w:val="00C11AED"/>
    <w:rsid w:val="00C121E9"/>
    <w:rsid w:val="00C12380"/>
    <w:rsid w:val="00C128C3"/>
    <w:rsid w:val="00C129E3"/>
    <w:rsid w:val="00C12BDD"/>
    <w:rsid w:val="00C131EA"/>
    <w:rsid w:val="00C13DB6"/>
    <w:rsid w:val="00C149E6"/>
    <w:rsid w:val="00C16487"/>
    <w:rsid w:val="00C17E40"/>
    <w:rsid w:val="00C20C06"/>
    <w:rsid w:val="00C20D70"/>
    <w:rsid w:val="00C20E85"/>
    <w:rsid w:val="00C21B2E"/>
    <w:rsid w:val="00C21B7D"/>
    <w:rsid w:val="00C21D39"/>
    <w:rsid w:val="00C229DF"/>
    <w:rsid w:val="00C25840"/>
    <w:rsid w:val="00C25B69"/>
    <w:rsid w:val="00C261E1"/>
    <w:rsid w:val="00C26474"/>
    <w:rsid w:val="00C26979"/>
    <w:rsid w:val="00C269F1"/>
    <w:rsid w:val="00C26C79"/>
    <w:rsid w:val="00C27024"/>
    <w:rsid w:val="00C27A29"/>
    <w:rsid w:val="00C30633"/>
    <w:rsid w:val="00C31A8E"/>
    <w:rsid w:val="00C3207C"/>
    <w:rsid w:val="00C32BBA"/>
    <w:rsid w:val="00C32EBB"/>
    <w:rsid w:val="00C330A0"/>
    <w:rsid w:val="00C33511"/>
    <w:rsid w:val="00C33979"/>
    <w:rsid w:val="00C34885"/>
    <w:rsid w:val="00C34D88"/>
    <w:rsid w:val="00C35423"/>
    <w:rsid w:val="00C356CF"/>
    <w:rsid w:val="00C358BB"/>
    <w:rsid w:val="00C359EF"/>
    <w:rsid w:val="00C35F4C"/>
    <w:rsid w:val="00C362E4"/>
    <w:rsid w:val="00C36691"/>
    <w:rsid w:val="00C36D85"/>
    <w:rsid w:val="00C37553"/>
    <w:rsid w:val="00C37E1A"/>
    <w:rsid w:val="00C410CD"/>
    <w:rsid w:val="00C411A0"/>
    <w:rsid w:val="00C413B0"/>
    <w:rsid w:val="00C414AE"/>
    <w:rsid w:val="00C41526"/>
    <w:rsid w:val="00C417AA"/>
    <w:rsid w:val="00C41B79"/>
    <w:rsid w:val="00C41B8D"/>
    <w:rsid w:val="00C42500"/>
    <w:rsid w:val="00C42B51"/>
    <w:rsid w:val="00C42B72"/>
    <w:rsid w:val="00C43C77"/>
    <w:rsid w:val="00C445A1"/>
    <w:rsid w:val="00C46645"/>
    <w:rsid w:val="00C46D03"/>
    <w:rsid w:val="00C46FF0"/>
    <w:rsid w:val="00C470E0"/>
    <w:rsid w:val="00C476BB"/>
    <w:rsid w:val="00C47CB0"/>
    <w:rsid w:val="00C50796"/>
    <w:rsid w:val="00C50895"/>
    <w:rsid w:val="00C519E7"/>
    <w:rsid w:val="00C51D40"/>
    <w:rsid w:val="00C521A5"/>
    <w:rsid w:val="00C527E4"/>
    <w:rsid w:val="00C52F48"/>
    <w:rsid w:val="00C53283"/>
    <w:rsid w:val="00C55BC4"/>
    <w:rsid w:val="00C56E07"/>
    <w:rsid w:val="00C56FBF"/>
    <w:rsid w:val="00C575B1"/>
    <w:rsid w:val="00C57F61"/>
    <w:rsid w:val="00C60BCF"/>
    <w:rsid w:val="00C610E6"/>
    <w:rsid w:val="00C613B2"/>
    <w:rsid w:val="00C62092"/>
    <w:rsid w:val="00C62CE6"/>
    <w:rsid w:val="00C6310E"/>
    <w:rsid w:val="00C633FA"/>
    <w:rsid w:val="00C63772"/>
    <w:rsid w:val="00C642AC"/>
    <w:rsid w:val="00C64622"/>
    <w:rsid w:val="00C64717"/>
    <w:rsid w:val="00C64F1B"/>
    <w:rsid w:val="00C65C58"/>
    <w:rsid w:val="00C667F4"/>
    <w:rsid w:val="00C67C4E"/>
    <w:rsid w:val="00C67DA3"/>
    <w:rsid w:val="00C70367"/>
    <w:rsid w:val="00C708BF"/>
    <w:rsid w:val="00C71067"/>
    <w:rsid w:val="00C718BA"/>
    <w:rsid w:val="00C71A92"/>
    <w:rsid w:val="00C72766"/>
    <w:rsid w:val="00C72ADA"/>
    <w:rsid w:val="00C737DB"/>
    <w:rsid w:val="00C745ED"/>
    <w:rsid w:val="00C75112"/>
    <w:rsid w:val="00C75ACA"/>
    <w:rsid w:val="00C75CDD"/>
    <w:rsid w:val="00C75FA2"/>
    <w:rsid w:val="00C76CF3"/>
    <w:rsid w:val="00C77527"/>
    <w:rsid w:val="00C77DDB"/>
    <w:rsid w:val="00C80C52"/>
    <w:rsid w:val="00C80E67"/>
    <w:rsid w:val="00C81388"/>
    <w:rsid w:val="00C815D2"/>
    <w:rsid w:val="00C819DF"/>
    <w:rsid w:val="00C81C0D"/>
    <w:rsid w:val="00C82BB3"/>
    <w:rsid w:val="00C83707"/>
    <w:rsid w:val="00C8437A"/>
    <w:rsid w:val="00C845ED"/>
    <w:rsid w:val="00C84BBF"/>
    <w:rsid w:val="00C85214"/>
    <w:rsid w:val="00C852F7"/>
    <w:rsid w:val="00C854A8"/>
    <w:rsid w:val="00C861D2"/>
    <w:rsid w:val="00C862A7"/>
    <w:rsid w:val="00C86985"/>
    <w:rsid w:val="00C870D1"/>
    <w:rsid w:val="00C90EE0"/>
    <w:rsid w:val="00C91A26"/>
    <w:rsid w:val="00C91F43"/>
    <w:rsid w:val="00C92A21"/>
    <w:rsid w:val="00C92E07"/>
    <w:rsid w:val="00C935BF"/>
    <w:rsid w:val="00C93F01"/>
    <w:rsid w:val="00C944F5"/>
    <w:rsid w:val="00C948DA"/>
    <w:rsid w:val="00C94B9B"/>
    <w:rsid w:val="00C956EA"/>
    <w:rsid w:val="00C95AD2"/>
    <w:rsid w:val="00C95EB7"/>
    <w:rsid w:val="00C95ECE"/>
    <w:rsid w:val="00C95F4A"/>
    <w:rsid w:val="00C9607A"/>
    <w:rsid w:val="00C9671C"/>
    <w:rsid w:val="00C96F70"/>
    <w:rsid w:val="00C97560"/>
    <w:rsid w:val="00C97E8F"/>
    <w:rsid w:val="00CA0240"/>
    <w:rsid w:val="00CA0398"/>
    <w:rsid w:val="00CA04F6"/>
    <w:rsid w:val="00CA0FB0"/>
    <w:rsid w:val="00CA1D79"/>
    <w:rsid w:val="00CA1DEE"/>
    <w:rsid w:val="00CA1ECD"/>
    <w:rsid w:val="00CA2234"/>
    <w:rsid w:val="00CA2301"/>
    <w:rsid w:val="00CA2530"/>
    <w:rsid w:val="00CA291C"/>
    <w:rsid w:val="00CA2E69"/>
    <w:rsid w:val="00CA47F2"/>
    <w:rsid w:val="00CA4AB8"/>
    <w:rsid w:val="00CA4AF5"/>
    <w:rsid w:val="00CA5A65"/>
    <w:rsid w:val="00CA6503"/>
    <w:rsid w:val="00CB014C"/>
    <w:rsid w:val="00CB1009"/>
    <w:rsid w:val="00CB1950"/>
    <w:rsid w:val="00CB1C8C"/>
    <w:rsid w:val="00CB204F"/>
    <w:rsid w:val="00CB228A"/>
    <w:rsid w:val="00CB2367"/>
    <w:rsid w:val="00CB2709"/>
    <w:rsid w:val="00CB495C"/>
    <w:rsid w:val="00CB4B94"/>
    <w:rsid w:val="00CB63EC"/>
    <w:rsid w:val="00CB659D"/>
    <w:rsid w:val="00CB6FCE"/>
    <w:rsid w:val="00CB7540"/>
    <w:rsid w:val="00CB7883"/>
    <w:rsid w:val="00CC09DF"/>
    <w:rsid w:val="00CC0AC1"/>
    <w:rsid w:val="00CC104A"/>
    <w:rsid w:val="00CC12D0"/>
    <w:rsid w:val="00CC1405"/>
    <w:rsid w:val="00CC1F2C"/>
    <w:rsid w:val="00CC23E5"/>
    <w:rsid w:val="00CC2A70"/>
    <w:rsid w:val="00CC31F4"/>
    <w:rsid w:val="00CC3AE2"/>
    <w:rsid w:val="00CC3C8C"/>
    <w:rsid w:val="00CC3C94"/>
    <w:rsid w:val="00CC440B"/>
    <w:rsid w:val="00CC4E2B"/>
    <w:rsid w:val="00CC5E95"/>
    <w:rsid w:val="00CC6035"/>
    <w:rsid w:val="00CC6D21"/>
    <w:rsid w:val="00CD0838"/>
    <w:rsid w:val="00CD0894"/>
    <w:rsid w:val="00CD11F2"/>
    <w:rsid w:val="00CD1486"/>
    <w:rsid w:val="00CD15B6"/>
    <w:rsid w:val="00CD178B"/>
    <w:rsid w:val="00CD181F"/>
    <w:rsid w:val="00CD1FF7"/>
    <w:rsid w:val="00CD2F67"/>
    <w:rsid w:val="00CD3C27"/>
    <w:rsid w:val="00CD3CD8"/>
    <w:rsid w:val="00CD3E60"/>
    <w:rsid w:val="00CD44D3"/>
    <w:rsid w:val="00CD4A45"/>
    <w:rsid w:val="00CD50F3"/>
    <w:rsid w:val="00CD55BB"/>
    <w:rsid w:val="00CD57D7"/>
    <w:rsid w:val="00CD6279"/>
    <w:rsid w:val="00CD68F5"/>
    <w:rsid w:val="00CD7463"/>
    <w:rsid w:val="00CD7E49"/>
    <w:rsid w:val="00CE0966"/>
    <w:rsid w:val="00CE0A24"/>
    <w:rsid w:val="00CE12B8"/>
    <w:rsid w:val="00CE175D"/>
    <w:rsid w:val="00CE1B29"/>
    <w:rsid w:val="00CE1E76"/>
    <w:rsid w:val="00CE36D1"/>
    <w:rsid w:val="00CE3AE1"/>
    <w:rsid w:val="00CE3D40"/>
    <w:rsid w:val="00CE3FB4"/>
    <w:rsid w:val="00CE3FC5"/>
    <w:rsid w:val="00CE4C12"/>
    <w:rsid w:val="00CE522E"/>
    <w:rsid w:val="00CE592F"/>
    <w:rsid w:val="00CE6EF0"/>
    <w:rsid w:val="00CE7718"/>
    <w:rsid w:val="00CE772B"/>
    <w:rsid w:val="00CE7948"/>
    <w:rsid w:val="00CE79FD"/>
    <w:rsid w:val="00CE7A0F"/>
    <w:rsid w:val="00CE7F1D"/>
    <w:rsid w:val="00CF103F"/>
    <w:rsid w:val="00CF212A"/>
    <w:rsid w:val="00CF35E0"/>
    <w:rsid w:val="00CF3F0C"/>
    <w:rsid w:val="00CF501A"/>
    <w:rsid w:val="00CF58DB"/>
    <w:rsid w:val="00CF62DC"/>
    <w:rsid w:val="00CF75DF"/>
    <w:rsid w:val="00CF78BE"/>
    <w:rsid w:val="00CF7B47"/>
    <w:rsid w:val="00D0025A"/>
    <w:rsid w:val="00D00BD3"/>
    <w:rsid w:val="00D01A46"/>
    <w:rsid w:val="00D01AB8"/>
    <w:rsid w:val="00D01BFE"/>
    <w:rsid w:val="00D01FE2"/>
    <w:rsid w:val="00D02410"/>
    <w:rsid w:val="00D0260A"/>
    <w:rsid w:val="00D027A5"/>
    <w:rsid w:val="00D0322A"/>
    <w:rsid w:val="00D03314"/>
    <w:rsid w:val="00D03A07"/>
    <w:rsid w:val="00D0417B"/>
    <w:rsid w:val="00D04598"/>
    <w:rsid w:val="00D057D3"/>
    <w:rsid w:val="00D05D44"/>
    <w:rsid w:val="00D05DE4"/>
    <w:rsid w:val="00D06294"/>
    <w:rsid w:val="00D069EA"/>
    <w:rsid w:val="00D06A8D"/>
    <w:rsid w:val="00D07154"/>
    <w:rsid w:val="00D077C7"/>
    <w:rsid w:val="00D07C77"/>
    <w:rsid w:val="00D10E81"/>
    <w:rsid w:val="00D1119F"/>
    <w:rsid w:val="00D117C8"/>
    <w:rsid w:val="00D119BD"/>
    <w:rsid w:val="00D1276A"/>
    <w:rsid w:val="00D12DEC"/>
    <w:rsid w:val="00D139D7"/>
    <w:rsid w:val="00D13DA6"/>
    <w:rsid w:val="00D1425E"/>
    <w:rsid w:val="00D1596F"/>
    <w:rsid w:val="00D15B6C"/>
    <w:rsid w:val="00D15E9F"/>
    <w:rsid w:val="00D16205"/>
    <w:rsid w:val="00D16B82"/>
    <w:rsid w:val="00D17540"/>
    <w:rsid w:val="00D176D1"/>
    <w:rsid w:val="00D17BEE"/>
    <w:rsid w:val="00D20015"/>
    <w:rsid w:val="00D20E12"/>
    <w:rsid w:val="00D21696"/>
    <w:rsid w:val="00D217A1"/>
    <w:rsid w:val="00D221AC"/>
    <w:rsid w:val="00D226DE"/>
    <w:rsid w:val="00D23764"/>
    <w:rsid w:val="00D239A0"/>
    <w:rsid w:val="00D23CF2"/>
    <w:rsid w:val="00D246C2"/>
    <w:rsid w:val="00D24992"/>
    <w:rsid w:val="00D254A6"/>
    <w:rsid w:val="00D25992"/>
    <w:rsid w:val="00D26251"/>
    <w:rsid w:val="00D26555"/>
    <w:rsid w:val="00D268EC"/>
    <w:rsid w:val="00D26B3C"/>
    <w:rsid w:val="00D26DEF"/>
    <w:rsid w:val="00D27060"/>
    <w:rsid w:val="00D274AD"/>
    <w:rsid w:val="00D30368"/>
    <w:rsid w:val="00D30A32"/>
    <w:rsid w:val="00D30CE2"/>
    <w:rsid w:val="00D31178"/>
    <w:rsid w:val="00D31D46"/>
    <w:rsid w:val="00D31F10"/>
    <w:rsid w:val="00D33A22"/>
    <w:rsid w:val="00D342EB"/>
    <w:rsid w:val="00D34947"/>
    <w:rsid w:val="00D34A51"/>
    <w:rsid w:val="00D35106"/>
    <w:rsid w:val="00D3650D"/>
    <w:rsid w:val="00D36E3D"/>
    <w:rsid w:val="00D36F7A"/>
    <w:rsid w:val="00D37033"/>
    <w:rsid w:val="00D379EB"/>
    <w:rsid w:val="00D40FDC"/>
    <w:rsid w:val="00D41049"/>
    <w:rsid w:val="00D41E13"/>
    <w:rsid w:val="00D42020"/>
    <w:rsid w:val="00D42641"/>
    <w:rsid w:val="00D43515"/>
    <w:rsid w:val="00D43C27"/>
    <w:rsid w:val="00D441FB"/>
    <w:rsid w:val="00D44550"/>
    <w:rsid w:val="00D44D69"/>
    <w:rsid w:val="00D454DC"/>
    <w:rsid w:val="00D45DA2"/>
    <w:rsid w:val="00D45DEF"/>
    <w:rsid w:val="00D45FA3"/>
    <w:rsid w:val="00D464D3"/>
    <w:rsid w:val="00D46CE3"/>
    <w:rsid w:val="00D478BA"/>
    <w:rsid w:val="00D50052"/>
    <w:rsid w:val="00D502AB"/>
    <w:rsid w:val="00D50CF6"/>
    <w:rsid w:val="00D5155E"/>
    <w:rsid w:val="00D516BB"/>
    <w:rsid w:val="00D517F6"/>
    <w:rsid w:val="00D526B6"/>
    <w:rsid w:val="00D52B9B"/>
    <w:rsid w:val="00D530D7"/>
    <w:rsid w:val="00D5352F"/>
    <w:rsid w:val="00D53755"/>
    <w:rsid w:val="00D537C7"/>
    <w:rsid w:val="00D53C27"/>
    <w:rsid w:val="00D53C53"/>
    <w:rsid w:val="00D544D9"/>
    <w:rsid w:val="00D54A48"/>
    <w:rsid w:val="00D5510A"/>
    <w:rsid w:val="00D5554D"/>
    <w:rsid w:val="00D557CC"/>
    <w:rsid w:val="00D5581F"/>
    <w:rsid w:val="00D57A90"/>
    <w:rsid w:val="00D57F2C"/>
    <w:rsid w:val="00D62085"/>
    <w:rsid w:val="00D6220C"/>
    <w:rsid w:val="00D625B7"/>
    <w:rsid w:val="00D63136"/>
    <w:rsid w:val="00D636F2"/>
    <w:rsid w:val="00D63A93"/>
    <w:rsid w:val="00D63B71"/>
    <w:rsid w:val="00D6422A"/>
    <w:rsid w:val="00D649AA"/>
    <w:rsid w:val="00D64C0A"/>
    <w:rsid w:val="00D64F74"/>
    <w:rsid w:val="00D65187"/>
    <w:rsid w:val="00D6520A"/>
    <w:rsid w:val="00D6603B"/>
    <w:rsid w:val="00D66077"/>
    <w:rsid w:val="00D67005"/>
    <w:rsid w:val="00D67B28"/>
    <w:rsid w:val="00D70353"/>
    <w:rsid w:val="00D70B29"/>
    <w:rsid w:val="00D70D2A"/>
    <w:rsid w:val="00D70FC9"/>
    <w:rsid w:val="00D7103B"/>
    <w:rsid w:val="00D713D3"/>
    <w:rsid w:val="00D718E2"/>
    <w:rsid w:val="00D71B04"/>
    <w:rsid w:val="00D71B3C"/>
    <w:rsid w:val="00D71DEC"/>
    <w:rsid w:val="00D72636"/>
    <w:rsid w:val="00D72EE6"/>
    <w:rsid w:val="00D7305C"/>
    <w:rsid w:val="00D73908"/>
    <w:rsid w:val="00D73B90"/>
    <w:rsid w:val="00D73E05"/>
    <w:rsid w:val="00D74268"/>
    <w:rsid w:val="00D74CBC"/>
    <w:rsid w:val="00D750A3"/>
    <w:rsid w:val="00D75AAF"/>
    <w:rsid w:val="00D76DE2"/>
    <w:rsid w:val="00D76F1D"/>
    <w:rsid w:val="00D7745C"/>
    <w:rsid w:val="00D7796F"/>
    <w:rsid w:val="00D77A24"/>
    <w:rsid w:val="00D77CC5"/>
    <w:rsid w:val="00D803D7"/>
    <w:rsid w:val="00D80B34"/>
    <w:rsid w:val="00D80CC2"/>
    <w:rsid w:val="00D80FC4"/>
    <w:rsid w:val="00D81C92"/>
    <w:rsid w:val="00D82448"/>
    <w:rsid w:val="00D825B9"/>
    <w:rsid w:val="00D82FA4"/>
    <w:rsid w:val="00D83FD6"/>
    <w:rsid w:val="00D85507"/>
    <w:rsid w:val="00D8585F"/>
    <w:rsid w:val="00D85F9F"/>
    <w:rsid w:val="00D85FD3"/>
    <w:rsid w:val="00D866F3"/>
    <w:rsid w:val="00D871E0"/>
    <w:rsid w:val="00D87600"/>
    <w:rsid w:val="00D87984"/>
    <w:rsid w:val="00D9014D"/>
    <w:rsid w:val="00D90232"/>
    <w:rsid w:val="00D90653"/>
    <w:rsid w:val="00D9100A"/>
    <w:rsid w:val="00D917E1"/>
    <w:rsid w:val="00D92355"/>
    <w:rsid w:val="00D93779"/>
    <w:rsid w:val="00D93D23"/>
    <w:rsid w:val="00D9455A"/>
    <w:rsid w:val="00D94933"/>
    <w:rsid w:val="00D95353"/>
    <w:rsid w:val="00D9545E"/>
    <w:rsid w:val="00D95F26"/>
    <w:rsid w:val="00D96515"/>
    <w:rsid w:val="00D9720E"/>
    <w:rsid w:val="00D9753F"/>
    <w:rsid w:val="00D97BA6"/>
    <w:rsid w:val="00D97DEB"/>
    <w:rsid w:val="00DA0032"/>
    <w:rsid w:val="00DA0889"/>
    <w:rsid w:val="00DA2ACB"/>
    <w:rsid w:val="00DA2DAD"/>
    <w:rsid w:val="00DA2E82"/>
    <w:rsid w:val="00DA2FD9"/>
    <w:rsid w:val="00DA3263"/>
    <w:rsid w:val="00DA3438"/>
    <w:rsid w:val="00DA3AA9"/>
    <w:rsid w:val="00DA3F1F"/>
    <w:rsid w:val="00DA48D9"/>
    <w:rsid w:val="00DA5C72"/>
    <w:rsid w:val="00DA61A6"/>
    <w:rsid w:val="00DA63B3"/>
    <w:rsid w:val="00DA68F9"/>
    <w:rsid w:val="00DA6B47"/>
    <w:rsid w:val="00DA6DDA"/>
    <w:rsid w:val="00DA7260"/>
    <w:rsid w:val="00DA7390"/>
    <w:rsid w:val="00DB054C"/>
    <w:rsid w:val="00DB0645"/>
    <w:rsid w:val="00DB08BC"/>
    <w:rsid w:val="00DB130D"/>
    <w:rsid w:val="00DB1B79"/>
    <w:rsid w:val="00DB316F"/>
    <w:rsid w:val="00DB37F0"/>
    <w:rsid w:val="00DB5A07"/>
    <w:rsid w:val="00DB6390"/>
    <w:rsid w:val="00DB64B1"/>
    <w:rsid w:val="00DB750E"/>
    <w:rsid w:val="00DB770C"/>
    <w:rsid w:val="00DC0318"/>
    <w:rsid w:val="00DC1BBA"/>
    <w:rsid w:val="00DC1D62"/>
    <w:rsid w:val="00DC243C"/>
    <w:rsid w:val="00DC3197"/>
    <w:rsid w:val="00DC343F"/>
    <w:rsid w:val="00DC4702"/>
    <w:rsid w:val="00DC498E"/>
    <w:rsid w:val="00DC4D8D"/>
    <w:rsid w:val="00DC527D"/>
    <w:rsid w:val="00DC54A7"/>
    <w:rsid w:val="00DC5B15"/>
    <w:rsid w:val="00DC649A"/>
    <w:rsid w:val="00DC68F4"/>
    <w:rsid w:val="00DD023E"/>
    <w:rsid w:val="00DD05EF"/>
    <w:rsid w:val="00DD154C"/>
    <w:rsid w:val="00DD23AC"/>
    <w:rsid w:val="00DD2924"/>
    <w:rsid w:val="00DD3C8D"/>
    <w:rsid w:val="00DD40AC"/>
    <w:rsid w:val="00DD4313"/>
    <w:rsid w:val="00DD4516"/>
    <w:rsid w:val="00DD4F99"/>
    <w:rsid w:val="00DD5FE8"/>
    <w:rsid w:val="00DD6D7B"/>
    <w:rsid w:val="00DD71E5"/>
    <w:rsid w:val="00DD7A38"/>
    <w:rsid w:val="00DD7F99"/>
    <w:rsid w:val="00DE0601"/>
    <w:rsid w:val="00DE10D4"/>
    <w:rsid w:val="00DE1960"/>
    <w:rsid w:val="00DE1B2F"/>
    <w:rsid w:val="00DE1C62"/>
    <w:rsid w:val="00DE22A8"/>
    <w:rsid w:val="00DE2450"/>
    <w:rsid w:val="00DE27AB"/>
    <w:rsid w:val="00DE3729"/>
    <w:rsid w:val="00DE38B1"/>
    <w:rsid w:val="00DE3CEF"/>
    <w:rsid w:val="00DE47DB"/>
    <w:rsid w:val="00DE5078"/>
    <w:rsid w:val="00DE51D7"/>
    <w:rsid w:val="00DE597F"/>
    <w:rsid w:val="00DE5E7F"/>
    <w:rsid w:val="00DE64F7"/>
    <w:rsid w:val="00DE66AB"/>
    <w:rsid w:val="00DE69D8"/>
    <w:rsid w:val="00DE6A65"/>
    <w:rsid w:val="00DE6E6D"/>
    <w:rsid w:val="00DE75DA"/>
    <w:rsid w:val="00DE78EF"/>
    <w:rsid w:val="00DE7AAC"/>
    <w:rsid w:val="00DF0824"/>
    <w:rsid w:val="00DF1586"/>
    <w:rsid w:val="00DF2113"/>
    <w:rsid w:val="00DF30FF"/>
    <w:rsid w:val="00DF36DC"/>
    <w:rsid w:val="00DF42D0"/>
    <w:rsid w:val="00DF43C3"/>
    <w:rsid w:val="00DF448E"/>
    <w:rsid w:val="00DF4A53"/>
    <w:rsid w:val="00DF4BF2"/>
    <w:rsid w:val="00DF6722"/>
    <w:rsid w:val="00DF684E"/>
    <w:rsid w:val="00DF69CD"/>
    <w:rsid w:val="00DF6B6B"/>
    <w:rsid w:val="00DF6C2E"/>
    <w:rsid w:val="00DF7E11"/>
    <w:rsid w:val="00E00368"/>
    <w:rsid w:val="00E00D8B"/>
    <w:rsid w:val="00E00F6E"/>
    <w:rsid w:val="00E01011"/>
    <w:rsid w:val="00E01B41"/>
    <w:rsid w:val="00E025C2"/>
    <w:rsid w:val="00E027AC"/>
    <w:rsid w:val="00E02C69"/>
    <w:rsid w:val="00E032FC"/>
    <w:rsid w:val="00E036C0"/>
    <w:rsid w:val="00E037C3"/>
    <w:rsid w:val="00E0424B"/>
    <w:rsid w:val="00E0504A"/>
    <w:rsid w:val="00E05120"/>
    <w:rsid w:val="00E05210"/>
    <w:rsid w:val="00E059A7"/>
    <w:rsid w:val="00E06FE9"/>
    <w:rsid w:val="00E0759D"/>
    <w:rsid w:val="00E07FD1"/>
    <w:rsid w:val="00E10239"/>
    <w:rsid w:val="00E10776"/>
    <w:rsid w:val="00E11189"/>
    <w:rsid w:val="00E116C4"/>
    <w:rsid w:val="00E11715"/>
    <w:rsid w:val="00E11BD7"/>
    <w:rsid w:val="00E11F84"/>
    <w:rsid w:val="00E126B5"/>
    <w:rsid w:val="00E12F3D"/>
    <w:rsid w:val="00E133EE"/>
    <w:rsid w:val="00E13732"/>
    <w:rsid w:val="00E137FF"/>
    <w:rsid w:val="00E13A04"/>
    <w:rsid w:val="00E13A4A"/>
    <w:rsid w:val="00E140A9"/>
    <w:rsid w:val="00E14740"/>
    <w:rsid w:val="00E14B17"/>
    <w:rsid w:val="00E14BDF"/>
    <w:rsid w:val="00E150D8"/>
    <w:rsid w:val="00E15321"/>
    <w:rsid w:val="00E16D8C"/>
    <w:rsid w:val="00E17378"/>
    <w:rsid w:val="00E2055C"/>
    <w:rsid w:val="00E211B2"/>
    <w:rsid w:val="00E211EF"/>
    <w:rsid w:val="00E21A86"/>
    <w:rsid w:val="00E2276A"/>
    <w:rsid w:val="00E24146"/>
    <w:rsid w:val="00E2436D"/>
    <w:rsid w:val="00E246CA"/>
    <w:rsid w:val="00E2497C"/>
    <w:rsid w:val="00E265EF"/>
    <w:rsid w:val="00E26AD8"/>
    <w:rsid w:val="00E26CEE"/>
    <w:rsid w:val="00E26EB0"/>
    <w:rsid w:val="00E278FE"/>
    <w:rsid w:val="00E27927"/>
    <w:rsid w:val="00E27ADB"/>
    <w:rsid w:val="00E30B2C"/>
    <w:rsid w:val="00E315E4"/>
    <w:rsid w:val="00E31750"/>
    <w:rsid w:val="00E317CC"/>
    <w:rsid w:val="00E31EDD"/>
    <w:rsid w:val="00E32AD1"/>
    <w:rsid w:val="00E32CA0"/>
    <w:rsid w:val="00E33FC7"/>
    <w:rsid w:val="00E34052"/>
    <w:rsid w:val="00E34D2E"/>
    <w:rsid w:val="00E34E20"/>
    <w:rsid w:val="00E350F5"/>
    <w:rsid w:val="00E3661B"/>
    <w:rsid w:val="00E372FC"/>
    <w:rsid w:val="00E40045"/>
    <w:rsid w:val="00E409C4"/>
    <w:rsid w:val="00E40A97"/>
    <w:rsid w:val="00E41F88"/>
    <w:rsid w:val="00E42AB3"/>
    <w:rsid w:val="00E42C1C"/>
    <w:rsid w:val="00E43CC9"/>
    <w:rsid w:val="00E43E40"/>
    <w:rsid w:val="00E44600"/>
    <w:rsid w:val="00E451BA"/>
    <w:rsid w:val="00E45413"/>
    <w:rsid w:val="00E459B0"/>
    <w:rsid w:val="00E45D20"/>
    <w:rsid w:val="00E47059"/>
    <w:rsid w:val="00E472E8"/>
    <w:rsid w:val="00E4735C"/>
    <w:rsid w:val="00E477F5"/>
    <w:rsid w:val="00E47840"/>
    <w:rsid w:val="00E47D6A"/>
    <w:rsid w:val="00E503A2"/>
    <w:rsid w:val="00E50691"/>
    <w:rsid w:val="00E50C1C"/>
    <w:rsid w:val="00E50CA8"/>
    <w:rsid w:val="00E51224"/>
    <w:rsid w:val="00E517C5"/>
    <w:rsid w:val="00E52C57"/>
    <w:rsid w:val="00E5421B"/>
    <w:rsid w:val="00E5453E"/>
    <w:rsid w:val="00E558CA"/>
    <w:rsid w:val="00E560BE"/>
    <w:rsid w:val="00E57138"/>
    <w:rsid w:val="00E57E48"/>
    <w:rsid w:val="00E60314"/>
    <w:rsid w:val="00E6074A"/>
    <w:rsid w:val="00E6096D"/>
    <w:rsid w:val="00E60D06"/>
    <w:rsid w:val="00E61A29"/>
    <w:rsid w:val="00E62C29"/>
    <w:rsid w:val="00E63418"/>
    <w:rsid w:val="00E6342C"/>
    <w:rsid w:val="00E636B5"/>
    <w:rsid w:val="00E63B74"/>
    <w:rsid w:val="00E63E51"/>
    <w:rsid w:val="00E64D74"/>
    <w:rsid w:val="00E650A7"/>
    <w:rsid w:val="00E657CA"/>
    <w:rsid w:val="00E65AF9"/>
    <w:rsid w:val="00E65DE2"/>
    <w:rsid w:val="00E66221"/>
    <w:rsid w:val="00E66772"/>
    <w:rsid w:val="00E66D09"/>
    <w:rsid w:val="00E67402"/>
    <w:rsid w:val="00E67777"/>
    <w:rsid w:val="00E67B09"/>
    <w:rsid w:val="00E7034B"/>
    <w:rsid w:val="00E70730"/>
    <w:rsid w:val="00E70E3D"/>
    <w:rsid w:val="00E710EA"/>
    <w:rsid w:val="00E713F1"/>
    <w:rsid w:val="00E71A1C"/>
    <w:rsid w:val="00E71CB1"/>
    <w:rsid w:val="00E72924"/>
    <w:rsid w:val="00E7292E"/>
    <w:rsid w:val="00E72C58"/>
    <w:rsid w:val="00E72DEA"/>
    <w:rsid w:val="00E7306E"/>
    <w:rsid w:val="00E743C4"/>
    <w:rsid w:val="00E743E4"/>
    <w:rsid w:val="00E74B7B"/>
    <w:rsid w:val="00E74FFC"/>
    <w:rsid w:val="00E75C82"/>
    <w:rsid w:val="00E75D7F"/>
    <w:rsid w:val="00E75F68"/>
    <w:rsid w:val="00E7602E"/>
    <w:rsid w:val="00E76429"/>
    <w:rsid w:val="00E77728"/>
    <w:rsid w:val="00E80348"/>
    <w:rsid w:val="00E8250E"/>
    <w:rsid w:val="00E8344B"/>
    <w:rsid w:val="00E83586"/>
    <w:rsid w:val="00E83985"/>
    <w:rsid w:val="00E83DF0"/>
    <w:rsid w:val="00E84FF1"/>
    <w:rsid w:val="00E85539"/>
    <w:rsid w:val="00E85B57"/>
    <w:rsid w:val="00E868FD"/>
    <w:rsid w:val="00E86E46"/>
    <w:rsid w:val="00E870DF"/>
    <w:rsid w:val="00E8713D"/>
    <w:rsid w:val="00E87C59"/>
    <w:rsid w:val="00E90709"/>
    <w:rsid w:val="00E90DD7"/>
    <w:rsid w:val="00E90E9E"/>
    <w:rsid w:val="00E9111C"/>
    <w:rsid w:val="00E91BA8"/>
    <w:rsid w:val="00E92D5C"/>
    <w:rsid w:val="00E92FDF"/>
    <w:rsid w:val="00E93580"/>
    <w:rsid w:val="00E93681"/>
    <w:rsid w:val="00E93761"/>
    <w:rsid w:val="00E946B0"/>
    <w:rsid w:val="00E96435"/>
    <w:rsid w:val="00E971EE"/>
    <w:rsid w:val="00E97216"/>
    <w:rsid w:val="00E97925"/>
    <w:rsid w:val="00E97DBD"/>
    <w:rsid w:val="00EA088C"/>
    <w:rsid w:val="00EA18BC"/>
    <w:rsid w:val="00EA1D15"/>
    <w:rsid w:val="00EA385F"/>
    <w:rsid w:val="00EA3CE6"/>
    <w:rsid w:val="00EA4677"/>
    <w:rsid w:val="00EA4B57"/>
    <w:rsid w:val="00EA4C8A"/>
    <w:rsid w:val="00EA4DBE"/>
    <w:rsid w:val="00EA52BD"/>
    <w:rsid w:val="00EA53C1"/>
    <w:rsid w:val="00EA6980"/>
    <w:rsid w:val="00EB08CD"/>
    <w:rsid w:val="00EB115E"/>
    <w:rsid w:val="00EB13C1"/>
    <w:rsid w:val="00EB19DE"/>
    <w:rsid w:val="00EB1E72"/>
    <w:rsid w:val="00EB29C7"/>
    <w:rsid w:val="00EB2C1C"/>
    <w:rsid w:val="00EB33FF"/>
    <w:rsid w:val="00EB354B"/>
    <w:rsid w:val="00EB42A7"/>
    <w:rsid w:val="00EB52DB"/>
    <w:rsid w:val="00EB5B1E"/>
    <w:rsid w:val="00EB5F15"/>
    <w:rsid w:val="00EB66AA"/>
    <w:rsid w:val="00EC00DF"/>
    <w:rsid w:val="00EC06A5"/>
    <w:rsid w:val="00EC0C29"/>
    <w:rsid w:val="00EC1A37"/>
    <w:rsid w:val="00EC1ADA"/>
    <w:rsid w:val="00EC1C1F"/>
    <w:rsid w:val="00EC2400"/>
    <w:rsid w:val="00EC24F2"/>
    <w:rsid w:val="00EC2564"/>
    <w:rsid w:val="00EC2FF1"/>
    <w:rsid w:val="00EC30A9"/>
    <w:rsid w:val="00EC30FA"/>
    <w:rsid w:val="00EC3265"/>
    <w:rsid w:val="00EC37A5"/>
    <w:rsid w:val="00EC3ED3"/>
    <w:rsid w:val="00EC4094"/>
    <w:rsid w:val="00EC4561"/>
    <w:rsid w:val="00EC4651"/>
    <w:rsid w:val="00EC4A28"/>
    <w:rsid w:val="00EC5847"/>
    <w:rsid w:val="00EC7201"/>
    <w:rsid w:val="00EC7B20"/>
    <w:rsid w:val="00ED0278"/>
    <w:rsid w:val="00ED0839"/>
    <w:rsid w:val="00ED08BF"/>
    <w:rsid w:val="00ED0972"/>
    <w:rsid w:val="00ED108A"/>
    <w:rsid w:val="00ED1302"/>
    <w:rsid w:val="00ED144B"/>
    <w:rsid w:val="00ED3246"/>
    <w:rsid w:val="00ED3AE4"/>
    <w:rsid w:val="00ED3ECD"/>
    <w:rsid w:val="00ED493A"/>
    <w:rsid w:val="00ED4A89"/>
    <w:rsid w:val="00ED4AED"/>
    <w:rsid w:val="00ED5061"/>
    <w:rsid w:val="00ED5157"/>
    <w:rsid w:val="00ED521D"/>
    <w:rsid w:val="00ED5553"/>
    <w:rsid w:val="00ED647F"/>
    <w:rsid w:val="00ED7F4F"/>
    <w:rsid w:val="00EE00CE"/>
    <w:rsid w:val="00EE03CB"/>
    <w:rsid w:val="00EE19F7"/>
    <w:rsid w:val="00EE2CB0"/>
    <w:rsid w:val="00EE31DA"/>
    <w:rsid w:val="00EE330D"/>
    <w:rsid w:val="00EE4037"/>
    <w:rsid w:val="00EE4B7E"/>
    <w:rsid w:val="00EE523F"/>
    <w:rsid w:val="00EE57A9"/>
    <w:rsid w:val="00EE5B55"/>
    <w:rsid w:val="00EE5FFE"/>
    <w:rsid w:val="00EE65B7"/>
    <w:rsid w:val="00EE69AC"/>
    <w:rsid w:val="00EE6B23"/>
    <w:rsid w:val="00EE7672"/>
    <w:rsid w:val="00EE771E"/>
    <w:rsid w:val="00EF0086"/>
    <w:rsid w:val="00EF166C"/>
    <w:rsid w:val="00EF1C65"/>
    <w:rsid w:val="00EF1F8D"/>
    <w:rsid w:val="00EF2AC0"/>
    <w:rsid w:val="00EF3020"/>
    <w:rsid w:val="00EF35FC"/>
    <w:rsid w:val="00EF360C"/>
    <w:rsid w:val="00EF482B"/>
    <w:rsid w:val="00EF4835"/>
    <w:rsid w:val="00EF53B5"/>
    <w:rsid w:val="00EF5E97"/>
    <w:rsid w:val="00EF5F09"/>
    <w:rsid w:val="00EF62B6"/>
    <w:rsid w:val="00EF690F"/>
    <w:rsid w:val="00EF6C64"/>
    <w:rsid w:val="00EF7199"/>
    <w:rsid w:val="00EF7789"/>
    <w:rsid w:val="00EF7A14"/>
    <w:rsid w:val="00F006DC"/>
    <w:rsid w:val="00F00D99"/>
    <w:rsid w:val="00F0104D"/>
    <w:rsid w:val="00F02186"/>
    <w:rsid w:val="00F0273E"/>
    <w:rsid w:val="00F032CA"/>
    <w:rsid w:val="00F0339C"/>
    <w:rsid w:val="00F033B2"/>
    <w:rsid w:val="00F0359F"/>
    <w:rsid w:val="00F04D3C"/>
    <w:rsid w:val="00F04E70"/>
    <w:rsid w:val="00F060FF"/>
    <w:rsid w:val="00F0698B"/>
    <w:rsid w:val="00F06C81"/>
    <w:rsid w:val="00F071B6"/>
    <w:rsid w:val="00F10D56"/>
    <w:rsid w:val="00F11C24"/>
    <w:rsid w:val="00F12221"/>
    <w:rsid w:val="00F13067"/>
    <w:rsid w:val="00F1347C"/>
    <w:rsid w:val="00F13BB3"/>
    <w:rsid w:val="00F142A4"/>
    <w:rsid w:val="00F14302"/>
    <w:rsid w:val="00F14367"/>
    <w:rsid w:val="00F144BC"/>
    <w:rsid w:val="00F154BB"/>
    <w:rsid w:val="00F16225"/>
    <w:rsid w:val="00F16D62"/>
    <w:rsid w:val="00F177D4"/>
    <w:rsid w:val="00F2046D"/>
    <w:rsid w:val="00F211F4"/>
    <w:rsid w:val="00F2151B"/>
    <w:rsid w:val="00F21748"/>
    <w:rsid w:val="00F21823"/>
    <w:rsid w:val="00F22538"/>
    <w:rsid w:val="00F23C02"/>
    <w:rsid w:val="00F25044"/>
    <w:rsid w:val="00F25313"/>
    <w:rsid w:val="00F25DD1"/>
    <w:rsid w:val="00F2643F"/>
    <w:rsid w:val="00F2653D"/>
    <w:rsid w:val="00F26BB1"/>
    <w:rsid w:val="00F26CC1"/>
    <w:rsid w:val="00F27386"/>
    <w:rsid w:val="00F27D00"/>
    <w:rsid w:val="00F27F80"/>
    <w:rsid w:val="00F304B0"/>
    <w:rsid w:val="00F31875"/>
    <w:rsid w:val="00F31ACE"/>
    <w:rsid w:val="00F326C8"/>
    <w:rsid w:val="00F33015"/>
    <w:rsid w:val="00F33179"/>
    <w:rsid w:val="00F3395B"/>
    <w:rsid w:val="00F34A51"/>
    <w:rsid w:val="00F34A6D"/>
    <w:rsid w:val="00F34A94"/>
    <w:rsid w:val="00F34C96"/>
    <w:rsid w:val="00F34DC6"/>
    <w:rsid w:val="00F355A1"/>
    <w:rsid w:val="00F3587C"/>
    <w:rsid w:val="00F35A7A"/>
    <w:rsid w:val="00F363B0"/>
    <w:rsid w:val="00F365BC"/>
    <w:rsid w:val="00F36785"/>
    <w:rsid w:val="00F367AF"/>
    <w:rsid w:val="00F37AAC"/>
    <w:rsid w:val="00F40BF6"/>
    <w:rsid w:val="00F40CA1"/>
    <w:rsid w:val="00F41578"/>
    <w:rsid w:val="00F420A3"/>
    <w:rsid w:val="00F42112"/>
    <w:rsid w:val="00F43D4F"/>
    <w:rsid w:val="00F44C85"/>
    <w:rsid w:val="00F46206"/>
    <w:rsid w:val="00F4647A"/>
    <w:rsid w:val="00F46821"/>
    <w:rsid w:val="00F46C8D"/>
    <w:rsid w:val="00F476B5"/>
    <w:rsid w:val="00F47B55"/>
    <w:rsid w:val="00F50FE6"/>
    <w:rsid w:val="00F5101B"/>
    <w:rsid w:val="00F51D36"/>
    <w:rsid w:val="00F52E0B"/>
    <w:rsid w:val="00F52ED6"/>
    <w:rsid w:val="00F52F67"/>
    <w:rsid w:val="00F531F8"/>
    <w:rsid w:val="00F53C97"/>
    <w:rsid w:val="00F53EC9"/>
    <w:rsid w:val="00F541CB"/>
    <w:rsid w:val="00F5473C"/>
    <w:rsid w:val="00F547A2"/>
    <w:rsid w:val="00F54CE9"/>
    <w:rsid w:val="00F550EA"/>
    <w:rsid w:val="00F55789"/>
    <w:rsid w:val="00F55A73"/>
    <w:rsid w:val="00F56314"/>
    <w:rsid w:val="00F56784"/>
    <w:rsid w:val="00F571AB"/>
    <w:rsid w:val="00F57D96"/>
    <w:rsid w:val="00F60743"/>
    <w:rsid w:val="00F61369"/>
    <w:rsid w:val="00F62C9C"/>
    <w:rsid w:val="00F62D0A"/>
    <w:rsid w:val="00F63F3A"/>
    <w:rsid w:val="00F64C14"/>
    <w:rsid w:val="00F6523E"/>
    <w:rsid w:val="00F65541"/>
    <w:rsid w:val="00F65985"/>
    <w:rsid w:val="00F65C87"/>
    <w:rsid w:val="00F65DF3"/>
    <w:rsid w:val="00F666E6"/>
    <w:rsid w:val="00F6749A"/>
    <w:rsid w:val="00F67EFA"/>
    <w:rsid w:val="00F7031E"/>
    <w:rsid w:val="00F7072B"/>
    <w:rsid w:val="00F70A87"/>
    <w:rsid w:val="00F71BA8"/>
    <w:rsid w:val="00F72497"/>
    <w:rsid w:val="00F7265E"/>
    <w:rsid w:val="00F727F0"/>
    <w:rsid w:val="00F736C2"/>
    <w:rsid w:val="00F738EF"/>
    <w:rsid w:val="00F739A4"/>
    <w:rsid w:val="00F73DD6"/>
    <w:rsid w:val="00F73F45"/>
    <w:rsid w:val="00F7432B"/>
    <w:rsid w:val="00F744CE"/>
    <w:rsid w:val="00F745EE"/>
    <w:rsid w:val="00F74673"/>
    <w:rsid w:val="00F74E28"/>
    <w:rsid w:val="00F75F9A"/>
    <w:rsid w:val="00F77C40"/>
    <w:rsid w:val="00F80E60"/>
    <w:rsid w:val="00F81B21"/>
    <w:rsid w:val="00F825A5"/>
    <w:rsid w:val="00F82ACD"/>
    <w:rsid w:val="00F836A6"/>
    <w:rsid w:val="00F836CA"/>
    <w:rsid w:val="00F83D60"/>
    <w:rsid w:val="00F83E2B"/>
    <w:rsid w:val="00F8404B"/>
    <w:rsid w:val="00F850F9"/>
    <w:rsid w:val="00F86506"/>
    <w:rsid w:val="00F870E4"/>
    <w:rsid w:val="00F871C1"/>
    <w:rsid w:val="00F878C2"/>
    <w:rsid w:val="00F87FCC"/>
    <w:rsid w:val="00F9036C"/>
    <w:rsid w:val="00F903B0"/>
    <w:rsid w:val="00F905D6"/>
    <w:rsid w:val="00F90685"/>
    <w:rsid w:val="00F90A26"/>
    <w:rsid w:val="00F90A48"/>
    <w:rsid w:val="00F90FE5"/>
    <w:rsid w:val="00F9127C"/>
    <w:rsid w:val="00F914A6"/>
    <w:rsid w:val="00F91A0F"/>
    <w:rsid w:val="00F91A12"/>
    <w:rsid w:val="00F925CD"/>
    <w:rsid w:val="00F937FD"/>
    <w:rsid w:val="00F93DB3"/>
    <w:rsid w:val="00F945C2"/>
    <w:rsid w:val="00F947D5"/>
    <w:rsid w:val="00F956AD"/>
    <w:rsid w:val="00F95EA3"/>
    <w:rsid w:val="00F962E0"/>
    <w:rsid w:val="00F9641E"/>
    <w:rsid w:val="00F9644B"/>
    <w:rsid w:val="00F96656"/>
    <w:rsid w:val="00F96C0A"/>
    <w:rsid w:val="00F96ECA"/>
    <w:rsid w:val="00F96FF3"/>
    <w:rsid w:val="00F9736B"/>
    <w:rsid w:val="00F9766A"/>
    <w:rsid w:val="00F97FB4"/>
    <w:rsid w:val="00FA200F"/>
    <w:rsid w:val="00FA42E7"/>
    <w:rsid w:val="00FA45A6"/>
    <w:rsid w:val="00FA469D"/>
    <w:rsid w:val="00FA49E5"/>
    <w:rsid w:val="00FA63E7"/>
    <w:rsid w:val="00FA6B62"/>
    <w:rsid w:val="00FA7878"/>
    <w:rsid w:val="00FB093C"/>
    <w:rsid w:val="00FB1535"/>
    <w:rsid w:val="00FB1A43"/>
    <w:rsid w:val="00FB3739"/>
    <w:rsid w:val="00FB37F7"/>
    <w:rsid w:val="00FB39EE"/>
    <w:rsid w:val="00FB3CB1"/>
    <w:rsid w:val="00FB4C17"/>
    <w:rsid w:val="00FB56B1"/>
    <w:rsid w:val="00FB574E"/>
    <w:rsid w:val="00FB5810"/>
    <w:rsid w:val="00FB6564"/>
    <w:rsid w:val="00FB661A"/>
    <w:rsid w:val="00FB7C9F"/>
    <w:rsid w:val="00FB7D2E"/>
    <w:rsid w:val="00FB7FDA"/>
    <w:rsid w:val="00FC23D0"/>
    <w:rsid w:val="00FC267F"/>
    <w:rsid w:val="00FC2A40"/>
    <w:rsid w:val="00FC327D"/>
    <w:rsid w:val="00FC34FF"/>
    <w:rsid w:val="00FC3602"/>
    <w:rsid w:val="00FC4003"/>
    <w:rsid w:val="00FC4650"/>
    <w:rsid w:val="00FC4CB3"/>
    <w:rsid w:val="00FC4DB1"/>
    <w:rsid w:val="00FC4E6F"/>
    <w:rsid w:val="00FC4FE5"/>
    <w:rsid w:val="00FC557E"/>
    <w:rsid w:val="00FC6E3D"/>
    <w:rsid w:val="00FD07D2"/>
    <w:rsid w:val="00FD0A91"/>
    <w:rsid w:val="00FD10AB"/>
    <w:rsid w:val="00FD190A"/>
    <w:rsid w:val="00FD1E92"/>
    <w:rsid w:val="00FD20F1"/>
    <w:rsid w:val="00FD2193"/>
    <w:rsid w:val="00FD2399"/>
    <w:rsid w:val="00FD25DE"/>
    <w:rsid w:val="00FD2949"/>
    <w:rsid w:val="00FD2CB9"/>
    <w:rsid w:val="00FD2E59"/>
    <w:rsid w:val="00FD3A39"/>
    <w:rsid w:val="00FD46C2"/>
    <w:rsid w:val="00FD4994"/>
    <w:rsid w:val="00FD49A2"/>
    <w:rsid w:val="00FD532E"/>
    <w:rsid w:val="00FD5460"/>
    <w:rsid w:val="00FD610B"/>
    <w:rsid w:val="00FD65D9"/>
    <w:rsid w:val="00FD6DBC"/>
    <w:rsid w:val="00FD713A"/>
    <w:rsid w:val="00FD7369"/>
    <w:rsid w:val="00FE1FEA"/>
    <w:rsid w:val="00FE21EA"/>
    <w:rsid w:val="00FE2206"/>
    <w:rsid w:val="00FE22F5"/>
    <w:rsid w:val="00FE3B47"/>
    <w:rsid w:val="00FE3CF5"/>
    <w:rsid w:val="00FE43F0"/>
    <w:rsid w:val="00FE4921"/>
    <w:rsid w:val="00FE5843"/>
    <w:rsid w:val="00FE5AA6"/>
    <w:rsid w:val="00FE5E95"/>
    <w:rsid w:val="00FE60A3"/>
    <w:rsid w:val="00FE6C07"/>
    <w:rsid w:val="00FE6D87"/>
    <w:rsid w:val="00FE7275"/>
    <w:rsid w:val="00FE74D0"/>
    <w:rsid w:val="00FE799C"/>
    <w:rsid w:val="00FF0EF1"/>
    <w:rsid w:val="00FF0FD4"/>
    <w:rsid w:val="00FF2011"/>
    <w:rsid w:val="00FF354C"/>
    <w:rsid w:val="00FF44F2"/>
    <w:rsid w:val="00FF5E03"/>
    <w:rsid w:val="00FF6163"/>
    <w:rsid w:val="00FF6470"/>
    <w:rsid w:val="00FF67D8"/>
    <w:rsid w:val="00FF6AE3"/>
    <w:rsid w:val="00FF6D8F"/>
    <w:rsid w:val="00FF71FA"/>
    <w:rsid w:val="00FF7B5D"/>
    <w:rsid w:val="00FF7BCD"/>
    <w:rsid w:val="00FF7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Batang" w:hAnsi="Arial" w:cs="Times New Roman"/>
        <w:bCs/>
        <w:szCs w:val="32"/>
        <w:lang w:val="en-US" w:eastAsia="zh-CN" w:bidi="ar-SA"/>
      </w:rPr>
    </w:rPrDefault>
    <w:pPrDefault>
      <w:pPr>
        <w:spacing w:before="120"/>
        <w:ind w:right="-101"/>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7A7356"/>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spacing w:before="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val="0"/>
    </w:rPr>
  </w:style>
  <w:style w:type="character" w:customStyle="1" w:styleId="CharChar1">
    <w:name w:val="Char Char1"/>
    <w:rPr>
      <w:b/>
      <w:bCs w:val="0"/>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rsid w:val="00F550EA"/>
    <w:pPr>
      <w:numPr>
        <w:numId w:val="7"/>
      </w:numPr>
      <w:spacing w:before="60"/>
    </w:pPr>
    <w:rPr>
      <w:rFonts w:eastAsia="MS Mincho"/>
      <w:b/>
      <w:lang w:val="en-GB" w:eastAsia="en-GB"/>
    </w:rPr>
  </w:style>
  <w:style w:type="paragraph" w:styleId="Caption">
    <w:name w:val="caption"/>
    <w:basedOn w:val="Normal"/>
    <w:next w:val="Normal"/>
    <w:uiPriority w:val="35"/>
    <w:unhideWhenUsed/>
    <w:qFormat/>
    <w:rsid w:val="00FE1FEA"/>
    <w:rPr>
      <w:b/>
      <w:bCs w:val="0"/>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8"/>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9"/>
      </w:numPr>
      <w:tabs>
        <w:tab w:val="clear" w:pos="1361"/>
        <w:tab w:val="left" w:pos="510"/>
        <w:tab w:val="left" w:pos="794"/>
        <w:tab w:val="left" w:pos="1077"/>
      </w:tabs>
      <w:spacing w:after="120"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10"/>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line="264" w:lineRule="auto"/>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1"/>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052148459">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38ba8f04d543c77011af6c7e5daeaa3">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e6e66cd79b26250ec305e73a43810542"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B9B105C-5E3B-4632-98A7-36C55B6E7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customXml/itemProps3.xml><?xml version="1.0" encoding="utf-8"?>
<ds:datastoreItem xmlns:ds="http://schemas.openxmlformats.org/officeDocument/2006/customXml" ds:itemID="{C1EBF383-FC23-4B93-AC90-B507EBAC9324}">
  <ds:schemaRefs>
    <ds:schemaRef ds:uri="http://schemas.microsoft.com/sharepoint/v3/contenttype/forms"/>
  </ds:schemaRefs>
</ds:datastoreItem>
</file>

<file path=customXml/itemProps4.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1231</TotalTime>
  <Pages>4</Pages>
  <Words>2347</Words>
  <Characters>11612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13932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Linhai He</cp:lastModifiedBy>
  <cp:revision>265</cp:revision>
  <cp:lastPrinted>2019-02-06T01:41:00Z</cp:lastPrinted>
  <dcterms:created xsi:type="dcterms:W3CDTF">2021-10-12T20:30:00Z</dcterms:created>
  <dcterms:modified xsi:type="dcterms:W3CDTF">2022-01-07T05:26:00Z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